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37668" w14:textId="77777777" w:rsidR="00914CFF" w:rsidRPr="00277BEC" w:rsidRDefault="00914CFF" w:rsidP="00D7409C">
      <w:pPr>
        <w:pStyle w:val="Title"/>
        <w:rPr>
          <w:rFonts w:cs="Arial"/>
        </w:rPr>
      </w:pPr>
      <w:bookmarkStart w:id="0" w:name="_Toc262207809"/>
      <w:bookmarkStart w:id="1" w:name="_GoBack"/>
      <w:bookmarkEnd w:id="1"/>
    </w:p>
    <w:p w14:paraId="03D2550B" w14:textId="77777777" w:rsidR="00914CFF" w:rsidRPr="00277BEC" w:rsidRDefault="00914CFF" w:rsidP="00D7409C">
      <w:pPr>
        <w:pStyle w:val="Title"/>
        <w:rPr>
          <w:rFonts w:cs="Arial"/>
        </w:rPr>
      </w:pPr>
    </w:p>
    <w:p w14:paraId="371531A2" w14:textId="77777777" w:rsidR="0027288E" w:rsidRPr="00277BEC" w:rsidRDefault="0027288E" w:rsidP="00D7409C">
      <w:pPr>
        <w:pStyle w:val="Title"/>
        <w:rPr>
          <w:rFonts w:cs="Arial"/>
        </w:rPr>
      </w:pPr>
    </w:p>
    <w:p w14:paraId="431DD4E4" w14:textId="77777777" w:rsidR="00D95AC1" w:rsidRPr="00277BEC" w:rsidRDefault="00D95AC1" w:rsidP="00D95AC1">
      <w:pPr>
        <w:pStyle w:val="Title"/>
        <w:spacing w:after="0"/>
        <w:ind w:hanging="2836"/>
        <w:rPr>
          <w:rFonts w:cs="Arial"/>
          <w:color w:val="auto"/>
          <w:sz w:val="40"/>
          <w:szCs w:val="40"/>
          <w:lang w:val="en-GB"/>
        </w:rPr>
      </w:pPr>
    </w:p>
    <w:p w14:paraId="6A7CFBC7" w14:textId="77777777" w:rsidR="00C60978" w:rsidRPr="00277BEC" w:rsidRDefault="00C045AF" w:rsidP="00D95AC1">
      <w:pPr>
        <w:pStyle w:val="Title"/>
        <w:spacing w:after="0"/>
        <w:ind w:hanging="2836"/>
        <w:rPr>
          <w:rFonts w:cs="Arial"/>
          <w:color w:val="auto"/>
          <w:sz w:val="40"/>
          <w:szCs w:val="40"/>
          <w:lang w:val="en-GB"/>
        </w:rPr>
      </w:pPr>
      <w:bookmarkStart w:id="2" w:name="_Toc264282826"/>
      <w:r w:rsidRPr="00277BEC">
        <w:rPr>
          <w:rFonts w:cs="Arial"/>
          <w:color w:val="auto"/>
          <w:sz w:val="40"/>
          <w:szCs w:val="40"/>
          <w:lang w:val="en-GB"/>
        </w:rPr>
        <w:t>Alignment of Literacy and Numeracy Measures</w:t>
      </w:r>
      <w:bookmarkEnd w:id="0"/>
      <w:bookmarkEnd w:id="2"/>
    </w:p>
    <w:p w14:paraId="57D3F009" w14:textId="77777777" w:rsidR="00C60978" w:rsidRPr="00277BEC" w:rsidRDefault="00C60978" w:rsidP="009A4151">
      <w:pPr>
        <w:pStyle w:val="Title"/>
        <w:spacing w:after="0"/>
        <w:ind w:hanging="2836"/>
        <w:rPr>
          <w:rFonts w:cs="Arial"/>
          <w:color w:val="auto"/>
          <w:sz w:val="36"/>
          <w:szCs w:val="36"/>
          <w:lang w:val="en-GB"/>
        </w:rPr>
      </w:pPr>
      <w:bookmarkStart w:id="3" w:name="_Toc264282827"/>
      <w:r w:rsidRPr="00277BEC">
        <w:rPr>
          <w:rFonts w:cs="Arial"/>
          <w:color w:val="auto"/>
          <w:sz w:val="36"/>
          <w:szCs w:val="36"/>
          <w:lang w:val="en-GB"/>
        </w:rPr>
        <w:t>Research for the Tertiary Education Commission</w:t>
      </w:r>
      <w:bookmarkEnd w:id="3"/>
    </w:p>
    <w:p w14:paraId="78AC74F0" w14:textId="77777777" w:rsidR="00E82B2A" w:rsidRPr="00277BEC" w:rsidRDefault="00E82B2A" w:rsidP="003A7B92">
      <w:pPr>
        <w:pStyle w:val="Title"/>
        <w:rPr>
          <w:rFonts w:cs="Arial"/>
        </w:rPr>
      </w:pPr>
    </w:p>
    <w:p w14:paraId="0B0F1C11" w14:textId="77777777" w:rsidR="00D95AC1" w:rsidRPr="00277BEC" w:rsidRDefault="00D95AC1" w:rsidP="003A7B92">
      <w:pPr>
        <w:pStyle w:val="Title"/>
        <w:rPr>
          <w:rFonts w:cs="Arial"/>
        </w:rPr>
      </w:pPr>
    </w:p>
    <w:p w14:paraId="5DB47BD6" w14:textId="77777777" w:rsidR="00D95AC1" w:rsidRPr="00277BEC" w:rsidRDefault="00D95AC1" w:rsidP="003A7B92">
      <w:pPr>
        <w:pStyle w:val="Title"/>
        <w:rPr>
          <w:rFonts w:cs="Arial"/>
        </w:rPr>
      </w:pPr>
    </w:p>
    <w:p w14:paraId="6FFF9B67" w14:textId="77777777" w:rsidR="00D95AC1" w:rsidRPr="00277BEC" w:rsidRDefault="00D95AC1" w:rsidP="003A7B92">
      <w:pPr>
        <w:pStyle w:val="Title"/>
        <w:rPr>
          <w:rFonts w:cs="Arial"/>
        </w:rPr>
      </w:pPr>
    </w:p>
    <w:p w14:paraId="3BF9B661" w14:textId="77777777" w:rsidR="00C60978" w:rsidRPr="00277BEC" w:rsidRDefault="00C60978" w:rsidP="009A4151">
      <w:pPr>
        <w:pStyle w:val="Title"/>
        <w:spacing w:after="0"/>
        <w:ind w:hanging="2836"/>
        <w:rPr>
          <w:rFonts w:cs="Arial"/>
          <w:i/>
          <w:color w:val="auto"/>
          <w:sz w:val="28"/>
          <w:szCs w:val="28"/>
          <w:lang w:val="en-GB"/>
        </w:rPr>
      </w:pPr>
      <w:bookmarkStart w:id="4" w:name="_Toc264282828"/>
      <w:r w:rsidRPr="00277BEC">
        <w:rPr>
          <w:rFonts w:cs="Arial"/>
          <w:i/>
          <w:color w:val="auto"/>
          <w:sz w:val="28"/>
          <w:szCs w:val="28"/>
          <w:lang w:val="en-GB"/>
        </w:rPr>
        <w:t>Gill Thomas, Michael Johnston, Jenny Ward</w:t>
      </w:r>
      <w:bookmarkEnd w:id="4"/>
    </w:p>
    <w:p w14:paraId="75D679BB" w14:textId="0819CF1E" w:rsidR="009A4151" w:rsidRPr="00277BEC" w:rsidRDefault="00934AB9" w:rsidP="009A4151">
      <w:pPr>
        <w:pStyle w:val="Title"/>
        <w:spacing w:after="0"/>
        <w:ind w:hanging="2836"/>
        <w:rPr>
          <w:rFonts w:cs="Arial"/>
          <w:i/>
          <w:color w:val="auto"/>
          <w:sz w:val="28"/>
          <w:szCs w:val="28"/>
          <w:lang w:val="en-GB"/>
        </w:rPr>
      </w:pPr>
      <w:bookmarkStart w:id="5" w:name="_Toc264282829"/>
      <w:r w:rsidRPr="00277BEC">
        <w:rPr>
          <w:rFonts w:cs="Arial"/>
          <w:i/>
          <w:color w:val="auto"/>
          <w:sz w:val="28"/>
          <w:szCs w:val="28"/>
          <w:lang w:val="en-GB"/>
        </w:rPr>
        <w:t>25 August</w:t>
      </w:r>
      <w:r w:rsidR="009A4151" w:rsidRPr="00277BEC">
        <w:rPr>
          <w:rFonts w:cs="Arial"/>
          <w:i/>
          <w:color w:val="auto"/>
          <w:sz w:val="28"/>
          <w:szCs w:val="28"/>
          <w:lang w:val="en-GB"/>
        </w:rPr>
        <w:t xml:space="preserve"> 2014</w:t>
      </w:r>
      <w:bookmarkEnd w:id="5"/>
    </w:p>
    <w:p w14:paraId="4008FA9D" w14:textId="77777777" w:rsidR="00C60978" w:rsidRPr="00277BEC" w:rsidRDefault="00C60978" w:rsidP="003A7B92">
      <w:pPr>
        <w:pStyle w:val="Title"/>
        <w:rPr>
          <w:rFonts w:cs="Arial"/>
        </w:rPr>
      </w:pPr>
    </w:p>
    <w:p w14:paraId="3383204B" w14:textId="77777777" w:rsidR="0099629B" w:rsidRPr="00277BEC" w:rsidRDefault="0099629B" w:rsidP="003A7B92">
      <w:pPr>
        <w:pStyle w:val="Title"/>
        <w:rPr>
          <w:rFonts w:cs="Arial"/>
        </w:rPr>
      </w:pPr>
    </w:p>
    <w:p w14:paraId="487AAD1F" w14:textId="77777777" w:rsidR="003A7B92" w:rsidRPr="00277BEC" w:rsidRDefault="003A7B92" w:rsidP="003A7B92">
      <w:pPr>
        <w:pStyle w:val="Title"/>
        <w:rPr>
          <w:rFonts w:cs="Arial"/>
        </w:rPr>
      </w:pPr>
    </w:p>
    <w:p w14:paraId="255049DE" w14:textId="77777777" w:rsidR="003A7B92" w:rsidRPr="00277BEC" w:rsidRDefault="003A7B92" w:rsidP="003A7B92">
      <w:pPr>
        <w:pStyle w:val="Title"/>
        <w:rPr>
          <w:rFonts w:cs="Arial"/>
        </w:rPr>
      </w:pPr>
    </w:p>
    <w:p w14:paraId="142E87B1" w14:textId="77777777" w:rsidR="003A7B92" w:rsidRPr="00277BEC" w:rsidRDefault="003A7B92" w:rsidP="003A7B92">
      <w:pPr>
        <w:pStyle w:val="Title"/>
        <w:rPr>
          <w:rFonts w:cs="Arial"/>
        </w:rPr>
      </w:pPr>
    </w:p>
    <w:p w14:paraId="58185410" w14:textId="77777777" w:rsidR="0099629B" w:rsidRPr="00277BEC" w:rsidRDefault="0099629B" w:rsidP="003A7B92">
      <w:pPr>
        <w:pStyle w:val="Title"/>
        <w:rPr>
          <w:rFonts w:cs="Arial"/>
        </w:rPr>
      </w:pPr>
    </w:p>
    <w:p w14:paraId="385DBD95" w14:textId="77777777" w:rsidR="00E82B2A" w:rsidRPr="00277BEC" w:rsidRDefault="00E82B2A" w:rsidP="003A7B92">
      <w:pPr>
        <w:pStyle w:val="Title"/>
        <w:rPr>
          <w:rFonts w:cs="Arial"/>
        </w:rPr>
      </w:pPr>
    </w:p>
    <w:p w14:paraId="7F3ED9D0" w14:textId="77777777" w:rsidR="00474A11" w:rsidRPr="00277BEC" w:rsidRDefault="00474A11" w:rsidP="003A7B92">
      <w:pPr>
        <w:pStyle w:val="Title"/>
        <w:rPr>
          <w:rFonts w:cs="Arial"/>
        </w:rPr>
      </w:pPr>
    </w:p>
    <w:p w14:paraId="2936F4DA" w14:textId="77777777" w:rsidR="00474A11" w:rsidRPr="00277BEC" w:rsidRDefault="00E82B2A" w:rsidP="00430F68">
      <w:pPr>
        <w:pStyle w:val="Heading1notinTOC"/>
        <w:rPr>
          <w:rFonts w:ascii="Arial" w:hAnsi="Arial" w:cs="Arial"/>
          <w:b w:val="0"/>
        </w:rPr>
      </w:pPr>
      <w:r w:rsidRPr="00277BEC">
        <w:rPr>
          <w:rFonts w:ascii="Arial" w:hAnsi="Arial" w:cs="Arial"/>
          <w:noProof/>
          <w:lang w:val="en-NZ" w:eastAsia="en-NZ"/>
        </w:rPr>
        <w:drawing>
          <wp:inline distT="0" distB="0" distL="0" distR="0" wp14:anchorId="43C4A16A" wp14:editId="69714110">
            <wp:extent cx="1778000" cy="447040"/>
            <wp:effectExtent l="0" t="0" r="0" b="10160"/>
            <wp:docPr id="1" name="Picture 73" descr="NZ Maths Technology L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Z Maths Technology Ltd 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778000" cy="447040"/>
                    </a:xfrm>
                    <a:prstGeom prst="rect">
                      <a:avLst/>
                    </a:prstGeom>
                    <a:noFill/>
                    <a:ln>
                      <a:noFill/>
                    </a:ln>
                  </pic:spPr>
                </pic:pic>
              </a:graphicData>
            </a:graphic>
          </wp:inline>
        </w:drawing>
      </w:r>
      <w:r w:rsidR="00474A11" w:rsidRPr="00277BEC">
        <w:rPr>
          <w:rFonts w:ascii="Arial" w:hAnsi="Arial" w:cs="Arial"/>
        </w:rPr>
        <w:br w:type="page"/>
      </w:r>
      <w:r w:rsidR="003B2EBF" w:rsidRPr="00277BEC">
        <w:rPr>
          <w:rFonts w:ascii="Arial" w:hAnsi="Arial" w:cs="Arial"/>
          <w:b w:val="0"/>
        </w:rPr>
        <w:lastRenderedPageBreak/>
        <w:t>CONTENTS</w:t>
      </w:r>
    </w:p>
    <w:p w14:paraId="3C5C2570" w14:textId="77777777" w:rsidR="00474A11" w:rsidRPr="00277BEC" w:rsidRDefault="00474A11" w:rsidP="00430F68">
      <w:pPr>
        <w:rPr>
          <w:rFonts w:ascii="Arial" w:hAnsi="Arial" w:cs="Arial"/>
        </w:rPr>
      </w:pPr>
    </w:p>
    <w:p w14:paraId="7B5BAC8E" w14:textId="77777777" w:rsidR="00D70D04" w:rsidRDefault="00277BEC">
      <w:pPr>
        <w:pStyle w:val="TOC1"/>
        <w:tabs>
          <w:tab w:val="left" w:pos="440"/>
          <w:tab w:val="right" w:leader="dot" w:pos="8398"/>
        </w:tabs>
        <w:rPr>
          <w:rFonts w:asciiTheme="minorHAnsi" w:hAnsiTheme="minorHAnsi"/>
          <w:bCs w:val="0"/>
          <w:noProof/>
          <w:szCs w:val="22"/>
          <w:lang w:val="en-NZ" w:eastAsia="en-NZ"/>
        </w:rPr>
      </w:pPr>
      <w:r>
        <w:rPr>
          <w:rFonts w:cs="Arial"/>
        </w:rPr>
        <w:fldChar w:fldCharType="begin"/>
      </w:r>
      <w:r>
        <w:rPr>
          <w:rFonts w:cs="Arial"/>
        </w:rPr>
        <w:instrText xml:space="preserve"> TOC \o "2-2" \t "Heading 1,1,Heading 1 not numbered,1" </w:instrText>
      </w:r>
      <w:r>
        <w:rPr>
          <w:rFonts w:cs="Arial"/>
        </w:rPr>
        <w:fldChar w:fldCharType="separate"/>
      </w:r>
      <w:r w:rsidR="00D70D04" w:rsidRPr="00D94651">
        <w:rPr>
          <w:rFonts w:cs="Arial"/>
          <w:noProof/>
        </w:rPr>
        <w:t>1</w:t>
      </w:r>
      <w:r w:rsidR="00D70D04">
        <w:rPr>
          <w:rFonts w:asciiTheme="minorHAnsi" w:hAnsiTheme="minorHAnsi"/>
          <w:bCs w:val="0"/>
          <w:noProof/>
          <w:szCs w:val="22"/>
          <w:lang w:val="en-NZ" w:eastAsia="en-NZ"/>
        </w:rPr>
        <w:tab/>
      </w:r>
      <w:r w:rsidR="00D70D04" w:rsidRPr="00D94651">
        <w:rPr>
          <w:rFonts w:cs="Arial"/>
          <w:noProof/>
        </w:rPr>
        <w:t>Executive Summary</w:t>
      </w:r>
      <w:r w:rsidR="00D70D04">
        <w:rPr>
          <w:noProof/>
        </w:rPr>
        <w:tab/>
      </w:r>
      <w:r w:rsidR="00D70D04">
        <w:rPr>
          <w:noProof/>
        </w:rPr>
        <w:fldChar w:fldCharType="begin"/>
      </w:r>
      <w:r w:rsidR="00D70D04">
        <w:rPr>
          <w:noProof/>
        </w:rPr>
        <w:instrText xml:space="preserve"> PAGEREF _Toc417920172 \h </w:instrText>
      </w:r>
      <w:r w:rsidR="00D70D04">
        <w:rPr>
          <w:noProof/>
        </w:rPr>
      </w:r>
      <w:r w:rsidR="00D70D04">
        <w:rPr>
          <w:noProof/>
        </w:rPr>
        <w:fldChar w:fldCharType="separate"/>
      </w:r>
      <w:r w:rsidR="00D70D04">
        <w:rPr>
          <w:noProof/>
        </w:rPr>
        <w:t>5</w:t>
      </w:r>
      <w:r w:rsidR="00D70D04">
        <w:rPr>
          <w:noProof/>
        </w:rPr>
        <w:fldChar w:fldCharType="end"/>
      </w:r>
    </w:p>
    <w:p w14:paraId="06F7B674" w14:textId="77777777" w:rsidR="00D70D04" w:rsidRDefault="00D70D04">
      <w:pPr>
        <w:pStyle w:val="TOC1"/>
        <w:tabs>
          <w:tab w:val="left" w:pos="440"/>
          <w:tab w:val="right" w:leader="dot" w:pos="8398"/>
        </w:tabs>
        <w:rPr>
          <w:rFonts w:asciiTheme="minorHAnsi" w:hAnsiTheme="minorHAnsi"/>
          <w:bCs w:val="0"/>
          <w:noProof/>
          <w:szCs w:val="22"/>
          <w:lang w:val="en-NZ" w:eastAsia="en-NZ"/>
        </w:rPr>
      </w:pPr>
      <w:r w:rsidRPr="00D94651">
        <w:rPr>
          <w:rFonts w:cs="Arial"/>
          <w:noProof/>
        </w:rPr>
        <w:t>2</w:t>
      </w:r>
      <w:r>
        <w:rPr>
          <w:rFonts w:asciiTheme="minorHAnsi" w:hAnsiTheme="minorHAnsi"/>
          <w:bCs w:val="0"/>
          <w:noProof/>
          <w:szCs w:val="22"/>
          <w:lang w:val="en-NZ" w:eastAsia="en-NZ"/>
        </w:rPr>
        <w:tab/>
      </w:r>
      <w:r w:rsidRPr="00D94651">
        <w:rPr>
          <w:rFonts w:cs="Arial"/>
          <w:noProof/>
        </w:rPr>
        <w:t>Background</w:t>
      </w:r>
      <w:r>
        <w:rPr>
          <w:noProof/>
        </w:rPr>
        <w:tab/>
      </w:r>
      <w:r>
        <w:rPr>
          <w:noProof/>
        </w:rPr>
        <w:fldChar w:fldCharType="begin"/>
      </w:r>
      <w:r>
        <w:rPr>
          <w:noProof/>
        </w:rPr>
        <w:instrText xml:space="preserve"> PAGEREF _Toc417920173 \h </w:instrText>
      </w:r>
      <w:r>
        <w:rPr>
          <w:noProof/>
        </w:rPr>
      </w:r>
      <w:r>
        <w:rPr>
          <w:noProof/>
        </w:rPr>
        <w:fldChar w:fldCharType="separate"/>
      </w:r>
      <w:r>
        <w:rPr>
          <w:noProof/>
        </w:rPr>
        <w:t>7</w:t>
      </w:r>
      <w:r>
        <w:rPr>
          <w:noProof/>
        </w:rPr>
        <w:fldChar w:fldCharType="end"/>
      </w:r>
    </w:p>
    <w:p w14:paraId="681F4526" w14:textId="77777777" w:rsidR="00D70D04" w:rsidRDefault="00D70D04">
      <w:pPr>
        <w:pStyle w:val="TOC2"/>
        <w:rPr>
          <w:rFonts w:asciiTheme="minorHAnsi" w:hAnsiTheme="minorHAnsi"/>
          <w:bCs w:val="0"/>
          <w:noProof/>
          <w:szCs w:val="22"/>
          <w:lang w:val="en-NZ" w:eastAsia="en-NZ"/>
        </w:rPr>
      </w:pPr>
      <w:r w:rsidRPr="00D94651">
        <w:rPr>
          <w:rFonts w:cs="Arial"/>
          <w:noProof/>
        </w:rPr>
        <w:t>2.1</w:t>
      </w:r>
      <w:r>
        <w:rPr>
          <w:rFonts w:asciiTheme="minorHAnsi" w:hAnsiTheme="minorHAnsi"/>
          <w:bCs w:val="0"/>
          <w:noProof/>
          <w:szCs w:val="22"/>
          <w:lang w:val="en-NZ" w:eastAsia="en-NZ"/>
        </w:rPr>
        <w:tab/>
      </w:r>
      <w:r w:rsidRPr="00D94651">
        <w:rPr>
          <w:rFonts w:cs="Arial"/>
          <w:noProof/>
        </w:rPr>
        <w:t>Introduction</w:t>
      </w:r>
      <w:r>
        <w:rPr>
          <w:noProof/>
        </w:rPr>
        <w:tab/>
      </w:r>
      <w:r>
        <w:rPr>
          <w:noProof/>
        </w:rPr>
        <w:fldChar w:fldCharType="begin"/>
      </w:r>
      <w:r>
        <w:rPr>
          <w:noProof/>
        </w:rPr>
        <w:instrText xml:space="preserve"> PAGEREF _Toc417920174 \h </w:instrText>
      </w:r>
      <w:r>
        <w:rPr>
          <w:noProof/>
        </w:rPr>
      </w:r>
      <w:r>
        <w:rPr>
          <w:noProof/>
        </w:rPr>
        <w:fldChar w:fldCharType="separate"/>
      </w:r>
      <w:r>
        <w:rPr>
          <w:noProof/>
        </w:rPr>
        <w:t>7</w:t>
      </w:r>
      <w:r>
        <w:rPr>
          <w:noProof/>
        </w:rPr>
        <w:fldChar w:fldCharType="end"/>
      </w:r>
    </w:p>
    <w:p w14:paraId="12ACA7D0" w14:textId="77777777" w:rsidR="00D70D04" w:rsidRDefault="00D70D04">
      <w:pPr>
        <w:pStyle w:val="TOC2"/>
        <w:rPr>
          <w:rFonts w:asciiTheme="minorHAnsi" w:hAnsiTheme="minorHAnsi"/>
          <w:bCs w:val="0"/>
          <w:noProof/>
          <w:szCs w:val="22"/>
          <w:lang w:val="en-NZ" w:eastAsia="en-NZ"/>
        </w:rPr>
      </w:pPr>
      <w:r w:rsidRPr="00D94651">
        <w:rPr>
          <w:rFonts w:cs="Arial"/>
          <w:noProof/>
        </w:rPr>
        <w:t>2.2</w:t>
      </w:r>
      <w:r>
        <w:rPr>
          <w:rFonts w:asciiTheme="minorHAnsi" w:hAnsiTheme="minorHAnsi"/>
          <w:bCs w:val="0"/>
          <w:noProof/>
          <w:szCs w:val="22"/>
          <w:lang w:val="en-NZ" w:eastAsia="en-NZ"/>
        </w:rPr>
        <w:tab/>
      </w:r>
      <w:r w:rsidRPr="00D94651">
        <w:rPr>
          <w:rFonts w:cs="Arial"/>
          <w:noProof/>
        </w:rPr>
        <w:t>The measures</w:t>
      </w:r>
      <w:r>
        <w:rPr>
          <w:noProof/>
        </w:rPr>
        <w:tab/>
      </w:r>
      <w:r>
        <w:rPr>
          <w:noProof/>
        </w:rPr>
        <w:fldChar w:fldCharType="begin"/>
      </w:r>
      <w:r>
        <w:rPr>
          <w:noProof/>
        </w:rPr>
        <w:instrText xml:space="preserve"> PAGEREF _Toc417920175 \h </w:instrText>
      </w:r>
      <w:r>
        <w:rPr>
          <w:noProof/>
        </w:rPr>
      </w:r>
      <w:r>
        <w:rPr>
          <w:noProof/>
        </w:rPr>
        <w:fldChar w:fldCharType="separate"/>
      </w:r>
      <w:r>
        <w:rPr>
          <w:noProof/>
        </w:rPr>
        <w:t>7</w:t>
      </w:r>
      <w:r>
        <w:rPr>
          <w:noProof/>
        </w:rPr>
        <w:fldChar w:fldCharType="end"/>
      </w:r>
    </w:p>
    <w:p w14:paraId="04AE8459" w14:textId="77777777" w:rsidR="00D70D04" w:rsidRDefault="00D70D04">
      <w:pPr>
        <w:pStyle w:val="TOC1"/>
        <w:tabs>
          <w:tab w:val="left" w:pos="440"/>
          <w:tab w:val="right" w:leader="dot" w:pos="8398"/>
        </w:tabs>
        <w:rPr>
          <w:rFonts w:asciiTheme="minorHAnsi" w:hAnsiTheme="minorHAnsi"/>
          <w:bCs w:val="0"/>
          <w:noProof/>
          <w:szCs w:val="22"/>
          <w:lang w:val="en-NZ" w:eastAsia="en-NZ"/>
        </w:rPr>
      </w:pPr>
      <w:r w:rsidRPr="00D94651">
        <w:rPr>
          <w:rFonts w:cs="Arial"/>
          <w:noProof/>
        </w:rPr>
        <w:t>3</w:t>
      </w:r>
      <w:r>
        <w:rPr>
          <w:rFonts w:asciiTheme="minorHAnsi" w:hAnsiTheme="minorHAnsi"/>
          <w:bCs w:val="0"/>
          <w:noProof/>
          <w:szCs w:val="22"/>
          <w:lang w:val="en-NZ" w:eastAsia="en-NZ"/>
        </w:rPr>
        <w:tab/>
      </w:r>
      <w:r w:rsidRPr="00D94651">
        <w:rPr>
          <w:rFonts w:cs="Arial"/>
          <w:noProof/>
        </w:rPr>
        <w:t>Methodological approach</w:t>
      </w:r>
      <w:r>
        <w:rPr>
          <w:noProof/>
        </w:rPr>
        <w:tab/>
      </w:r>
      <w:r>
        <w:rPr>
          <w:noProof/>
        </w:rPr>
        <w:fldChar w:fldCharType="begin"/>
      </w:r>
      <w:r>
        <w:rPr>
          <w:noProof/>
        </w:rPr>
        <w:instrText xml:space="preserve"> PAGEREF _Toc417920176 \h </w:instrText>
      </w:r>
      <w:r>
        <w:rPr>
          <w:noProof/>
        </w:rPr>
      </w:r>
      <w:r>
        <w:rPr>
          <w:noProof/>
        </w:rPr>
        <w:fldChar w:fldCharType="separate"/>
      </w:r>
      <w:r>
        <w:rPr>
          <w:noProof/>
        </w:rPr>
        <w:t>11</w:t>
      </w:r>
      <w:r>
        <w:rPr>
          <w:noProof/>
        </w:rPr>
        <w:fldChar w:fldCharType="end"/>
      </w:r>
    </w:p>
    <w:p w14:paraId="3617FD22" w14:textId="77777777" w:rsidR="00D70D04" w:rsidRDefault="00D70D04">
      <w:pPr>
        <w:pStyle w:val="TOC2"/>
        <w:rPr>
          <w:rFonts w:asciiTheme="minorHAnsi" w:hAnsiTheme="minorHAnsi"/>
          <w:bCs w:val="0"/>
          <w:noProof/>
          <w:szCs w:val="22"/>
          <w:lang w:val="en-NZ" w:eastAsia="en-NZ"/>
        </w:rPr>
      </w:pPr>
      <w:r w:rsidRPr="00D94651">
        <w:rPr>
          <w:rFonts w:cs="Arial"/>
          <w:noProof/>
        </w:rPr>
        <w:t>3.1</w:t>
      </w:r>
      <w:r>
        <w:rPr>
          <w:rFonts w:asciiTheme="minorHAnsi" w:hAnsiTheme="minorHAnsi"/>
          <w:bCs w:val="0"/>
          <w:noProof/>
          <w:szCs w:val="22"/>
          <w:lang w:val="en-NZ" w:eastAsia="en-NZ"/>
        </w:rPr>
        <w:tab/>
      </w:r>
      <w:r w:rsidRPr="00D94651">
        <w:rPr>
          <w:rFonts w:cs="Arial"/>
          <w:noProof/>
        </w:rPr>
        <w:t>Methodology and research questions</w:t>
      </w:r>
      <w:r>
        <w:rPr>
          <w:noProof/>
        </w:rPr>
        <w:tab/>
      </w:r>
      <w:r>
        <w:rPr>
          <w:noProof/>
        </w:rPr>
        <w:fldChar w:fldCharType="begin"/>
      </w:r>
      <w:r>
        <w:rPr>
          <w:noProof/>
        </w:rPr>
        <w:instrText xml:space="preserve"> PAGEREF _Toc417920177 \h </w:instrText>
      </w:r>
      <w:r>
        <w:rPr>
          <w:noProof/>
        </w:rPr>
      </w:r>
      <w:r>
        <w:rPr>
          <w:noProof/>
        </w:rPr>
        <w:fldChar w:fldCharType="separate"/>
      </w:r>
      <w:r>
        <w:rPr>
          <w:noProof/>
        </w:rPr>
        <w:t>11</w:t>
      </w:r>
      <w:r>
        <w:rPr>
          <w:noProof/>
        </w:rPr>
        <w:fldChar w:fldCharType="end"/>
      </w:r>
    </w:p>
    <w:p w14:paraId="5156E109" w14:textId="77777777" w:rsidR="00D70D04" w:rsidRDefault="00D70D04">
      <w:pPr>
        <w:pStyle w:val="TOC2"/>
        <w:rPr>
          <w:rFonts w:asciiTheme="minorHAnsi" w:hAnsiTheme="minorHAnsi"/>
          <w:bCs w:val="0"/>
          <w:noProof/>
          <w:szCs w:val="22"/>
          <w:lang w:val="en-NZ" w:eastAsia="en-NZ"/>
        </w:rPr>
      </w:pPr>
      <w:r w:rsidRPr="00D94651">
        <w:rPr>
          <w:rFonts w:cs="Arial"/>
          <w:noProof/>
        </w:rPr>
        <w:t>3.2</w:t>
      </w:r>
      <w:r>
        <w:rPr>
          <w:rFonts w:asciiTheme="minorHAnsi" w:hAnsiTheme="minorHAnsi"/>
          <w:bCs w:val="0"/>
          <w:noProof/>
          <w:szCs w:val="22"/>
          <w:lang w:val="en-NZ" w:eastAsia="en-NZ"/>
        </w:rPr>
        <w:tab/>
      </w:r>
      <w:r w:rsidRPr="00D94651">
        <w:rPr>
          <w:rFonts w:cs="Arial"/>
          <w:noProof/>
        </w:rPr>
        <w:t>Data sources and participants</w:t>
      </w:r>
      <w:r>
        <w:rPr>
          <w:noProof/>
        </w:rPr>
        <w:tab/>
      </w:r>
      <w:r>
        <w:rPr>
          <w:noProof/>
        </w:rPr>
        <w:fldChar w:fldCharType="begin"/>
      </w:r>
      <w:r>
        <w:rPr>
          <w:noProof/>
        </w:rPr>
        <w:instrText xml:space="preserve"> PAGEREF _Toc417920178 \h </w:instrText>
      </w:r>
      <w:r>
        <w:rPr>
          <w:noProof/>
        </w:rPr>
      </w:r>
      <w:r>
        <w:rPr>
          <w:noProof/>
        </w:rPr>
        <w:fldChar w:fldCharType="separate"/>
      </w:r>
      <w:r>
        <w:rPr>
          <w:noProof/>
        </w:rPr>
        <w:t>12</w:t>
      </w:r>
      <w:r>
        <w:rPr>
          <w:noProof/>
        </w:rPr>
        <w:fldChar w:fldCharType="end"/>
      </w:r>
    </w:p>
    <w:p w14:paraId="0D03EE63" w14:textId="77777777" w:rsidR="00D70D04" w:rsidRDefault="00D70D04">
      <w:pPr>
        <w:pStyle w:val="TOC2"/>
        <w:rPr>
          <w:rFonts w:asciiTheme="minorHAnsi" w:hAnsiTheme="minorHAnsi"/>
          <w:bCs w:val="0"/>
          <w:noProof/>
          <w:szCs w:val="22"/>
          <w:lang w:val="en-NZ" w:eastAsia="en-NZ"/>
        </w:rPr>
      </w:pPr>
      <w:r w:rsidRPr="00D94651">
        <w:rPr>
          <w:rFonts w:cs="Arial"/>
          <w:noProof/>
        </w:rPr>
        <w:t>3.3</w:t>
      </w:r>
      <w:r>
        <w:rPr>
          <w:rFonts w:asciiTheme="minorHAnsi" w:hAnsiTheme="minorHAnsi"/>
          <w:bCs w:val="0"/>
          <w:noProof/>
          <w:szCs w:val="22"/>
          <w:lang w:val="en-NZ" w:eastAsia="en-NZ"/>
        </w:rPr>
        <w:tab/>
      </w:r>
      <w:r w:rsidRPr="00D94651">
        <w:rPr>
          <w:rFonts w:cs="Arial"/>
          <w:noProof/>
        </w:rPr>
        <w:t>Analysis</w:t>
      </w:r>
      <w:r>
        <w:rPr>
          <w:noProof/>
        </w:rPr>
        <w:tab/>
      </w:r>
      <w:r>
        <w:rPr>
          <w:noProof/>
        </w:rPr>
        <w:fldChar w:fldCharType="begin"/>
      </w:r>
      <w:r>
        <w:rPr>
          <w:noProof/>
        </w:rPr>
        <w:instrText xml:space="preserve"> PAGEREF _Toc417920179 \h </w:instrText>
      </w:r>
      <w:r>
        <w:rPr>
          <w:noProof/>
        </w:rPr>
      </w:r>
      <w:r>
        <w:rPr>
          <w:noProof/>
        </w:rPr>
        <w:fldChar w:fldCharType="separate"/>
      </w:r>
      <w:r>
        <w:rPr>
          <w:noProof/>
        </w:rPr>
        <w:t>15</w:t>
      </w:r>
      <w:r>
        <w:rPr>
          <w:noProof/>
        </w:rPr>
        <w:fldChar w:fldCharType="end"/>
      </w:r>
    </w:p>
    <w:p w14:paraId="6ADD16D1" w14:textId="77777777" w:rsidR="00D70D04" w:rsidRDefault="00D70D04">
      <w:pPr>
        <w:pStyle w:val="TOC1"/>
        <w:tabs>
          <w:tab w:val="left" w:pos="440"/>
          <w:tab w:val="right" w:leader="dot" w:pos="8398"/>
        </w:tabs>
        <w:rPr>
          <w:rFonts w:asciiTheme="minorHAnsi" w:hAnsiTheme="minorHAnsi"/>
          <w:bCs w:val="0"/>
          <w:noProof/>
          <w:szCs w:val="22"/>
          <w:lang w:val="en-NZ" w:eastAsia="en-NZ"/>
        </w:rPr>
      </w:pPr>
      <w:r w:rsidRPr="00D94651">
        <w:rPr>
          <w:rFonts w:cs="Arial"/>
          <w:noProof/>
        </w:rPr>
        <w:t>4</w:t>
      </w:r>
      <w:r>
        <w:rPr>
          <w:rFonts w:asciiTheme="minorHAnsi" w:hAnsiTheme="minorHAnsi"/>
          <w:bCs w:val="0"/>
          <w:noProof/>
          <w:szCs w:val="22"/>
          <w:lang w:val="en-NZ" w:eastAsia="en-NZ"/>
        </w:rPr>
        <w:tab/>
      </w:r>
      <w:r w:rsidRPr="00D94651">
        <w:rPr>
          <w:rFonts w:cs="Arial"/>
          <w:noProof/>
        </w:rPr>
        <w:t>Review of previously established links</w:t>
      </w:r>
      <w:r>
        <w:rPr>
          <w:noProof/>
        </w:rPr>
        <w:tab/>
      </w:r>
      <w:r>
        <w:rPr>
          <w:noProof/>
        </w:rPr>
        <w:fldChar w:fldCharType="begin"/>
      </w:r>
      <w:r>
        <w:rPr>
          <w:noProof/>
        </w:rPr>
        <w:instrText xml:space="preserve"> PAGEREF _Toc417920180 \h </w:instrText>
      </w:r>
      <w:r>
        <w:rPr>
          <w:noProof/>
        </w:rPr>
      </w:r>
      <w:r>
        <w:rPr>
          <w:noProof/>
        </w:rPr>
        <w:fldChar w:fldCharType="separate"/>
      </w:r>
      <w:r>
        <w:rPr>
          <w:noProof/>
        </w:rPr>
        <w:t>16</w:t>
      </w:r>
      <w:r>
        <w:rPr>
          <w:noProof/>
        </w:rPr>
        <w:fldChar w:fldCharType="end"/>
      </w:r>
    </w:p>
    <w:p w14:paraId="3EC13B60" w14:textId="77777777" w:rsidR="00D70D04" w:rsidRDefault="00D70D04">
      <w:pPr>
        <w:pStyle w:val="TOC2"/>
        <w:rPr>
          <w:rFonts w:asciiTheme="minorHAnsi" w:hAnsiTheme="minorHAnsi"/>
          <w:bCs w:val="0"/>
          <w:noProof/>
          <w:szCs w:val="22"/>
          <w:lang w:val="en-NZ" w:eastAsia="en-NZ"/>
        </w:rPr>
      </w:pPr>
      <w:r w:rsidRPr="00D94651">
        <w:rPr>
          <w:rFonts w:cs="Arial"/>
          <w:noProof/>
        </w:rPr>
        <w:t>4.1</w:t>
      </w:r>
      <w:r>
        <w:rPr>
          <w:rFonts w:asciiTheme="minorHAnsi" w:hAnsiTheme="minorHAnsi"/>
          <w:bCs w:val="0"/>
          <w:noProof/>
          <w:szCs w:val="22"/>
          <w:lang w:val="en-NZ" w:eastAsia="en-NZ"/>
        </w:rPr>
        <w:tab/>
      </w:r>
      <w:r w:rsidRPr="00D94651">
        <w:rPr>
          <w:rFonts w:cs="Arial"/>
          <w:noProof/>
        </w:rPr>
        <w:t>ALL and the learning progressions</w:t>
      </w:r>
      <w:r>
        <w:rPr>
          <w:noProof/>
        </w:rPr>
        <w:tab/>
      </w:r>
      <w:r>
        <w:rPr>
          <w:noProof/>
        </w:rPr>
        <w:fldChar w:fldCharType="begin"/>
      </w:r>
      <w:r>
        <w:rPr>
          <w:noProof/>
        </w:rPr>
        <w:instrText xml:space="preserve"> PAGEREF _Toc417920181 \h </w:instrText>
      </w:r>
      <w:r>
        <w:rPr>
          <w:noProof/>
        </w:rPr>
      </w:r>
      <w:r>
        <w:rPr>
          <w:noProof/>
        </w:rPr>
        <w:fldChar w:fldCharType="separate"/>
      </w:r>
      <w:r>
        <w:rPr>
          <w:noProof/>
        </w:rPr>
        <w:t>16</w:t>
      </w:r>
      <w:r>
        <w:rPr>
          <w:noProof/>
        </w:rPr>
        <w:fldChar w:fldCharType="end"/>
      </w:r>
    </w:p>
    <w:p w14:paraId="160F97A3" w14:textId="77777777" w:rsidR="00D70D04" w:rsidRDefault="00D70D04">
      <w:pPr>
        <w:pStyle w:val="TOC2"/>
        <w:rPr>
          <w:rFonts w:asciiTheme="minorHAnsi" w:hAnsiTheme="minorHAnsi"/>
          <w:bCs w:val="0"/>
          <w:noProof/>
          <w:szCs w:val="22"/>
          <w:lang w:val="en-NZ" w:eastAsia="en-NZ"/>
        </w:rPr>
      </w:pPr>
      <w:r w:rsidRPr="00D94651">
        <w:rPr>
          <w:rFonts w:cs="Arial"/>
          <w:noProof/>
        </w:rPr>
        <w:t>4.2</w:t>
      </w:r>
      <w:r>
        <w:rPr>
          <w:rFonts w:asciiTheme="minorHAnsi" w:hAnsiTheme="minorHAnsi"/>
          <w:bCs w:val="0"/>
          <w:noProof/>
          <w:szCs w:val="22"/>
          <w:lang w:val="en-NZ" w:eastAsia="en-NZ"/>
        </w:rPr>
        <w:tab/>
      </w:r>
      <w:r w:rsidRPr="00D94651">
        <w:rPr>
          <w:rFonts w:cs="Arial"/>
          <w:noProof/>
        </w:rPr>
        <w:t>Summarising the alignments</w:t>
      </w:r>
      <w:r>
        <w:rPr>
          <w:noProof/>
        </w:rPr>
        <w:tab/>
      </w:r>
      <w:r>
        <w:rPr>
          <w:noProof/>
        </w:rPr>
        <w:fldChar w:fldCharType="begin"/>
      </w:r>
      <w:r>
        <w:rPr>
          <w:noProof/>
        </w:rPr>
        <w:instrText xml:space="preserve"> PAGEREF _Toc417920182 \h </w:instrText>
      </w:r>
      <w:r>
        <w:rPr>
          <w:noProof/>
        </w:rPr>
      </w:r>
      <w:r>
        <w:rPr>
          <w:noProof/>
        </w:rPr>
        <w:fldChar w:fldCharType="separate"/>
      </w:r>
      <w:r>
        <w:rPr>
          <w:noProof/>
        </w:rPr>
        <w:t>18</w:t>
      </w:r>
      <w:r>
        <w:rPr>
          <w:noProof/>
        </w:rPr>
        <w:fldChar w:fldCharType="end"/>
      </w:r>
    </w:p>
    <w:p w14:paraId="6F38FFCF" w14:textId="77777777" w:rsidR="00D70D04" w:rsidRDefault="00D70D04">
      <w:pPr>
        <w:pStyle w:val="TOC1"/>
        <w:tabs>
          <w:tab w:val="left" w:pos="440"/>
          <w:tab w:val="right" w:leader="dot" w:pos="8398"/>
        </w:tabs>
        <w:rPr>
          <w:rFonts w:asciiTheme="minorHAnsi" w:hAnsiTheme="minorHAnsi"/>
          <w:bCs w:val="0"/>
          <w:noProof/>
          <w:szCs w:val="22"/>
          <w:lang w:val="en-NZ" w:eastAsia="en-NZ"/>
        </w:rPr>
      </w:pPr>
      <w:r w:rsidRPr="00D94651">
        <w:rPr>
          <w:rFonts w:cs="Arial"/>
          <w:noProof/>
        </w:rPr>
        <w:t>5</w:t>
      </w:r>
      <w:r>
        <w:rPr>
          <w:rFonts w:asciiTheme="minorHAnsi" w:hAnsiTheme="minorHAnsi"/>
          <w:bCs w:val="0"/>
          <w:noProof/>
          <w:szCs w:val="22"/>
          <w:lang w:val="en-NZ" w:eastAsia="en-NZ"/>
        </w:rPr>
        <w:tab/>
      </w:r>
      <w:r w:rsidRPr="00D94651">
        <w:rPr>
          <w:rFonts w:cs="Arial"/>
          <w:noProof/>
        </w:rPr>
        <w:t>Aligning the learning progressions with NCEA requirements</w:t>
      </w:r>
      <w:r>
        <w:rPr>
          <w:noProof/>
        </w:rPr>
        <w:tab/>
      </w:r>
      <w:r>
        <w:rPr>
          <w:noProof/>
        </w:rPr>
        <w:fldChar w:fldCharType="begin"/>
      </w:r>
      <w:r>
        <w:rPr>
          <w:noProof/>
        </w:rPr>
        <w:instrText xml:space="preserve"> PAGEREF _Toc417920183 \h </w:instrText>
      </w:r>
      <w:r>
        <w:rPr>
          <w:noProof/>
        </w:rPr>
      </w:r>
      <w:r>
        <w:rPr>
          <w:noProof/>
        </w:rPr>
        <w:fldChar w:fldCharType="separate"/>
      </w:r>
      <w:r>
        <w:rPr>
          <w:noProof/>
        </w:rPr>
        <w:t>20</w:t>
      </w:r>
      <w:r>
        <w:rPr>
          <w:noProof/>
        </w:rPr>
        <w:fldChar w:fldCharType="end"/>
      </w:r>
    </w:p>
    <w:p w14:paraId="78BA9FDB" w14:textId="77777777" w:rsidR="00D70D04" w:rsidRDefault="00D70D04">
      <w:pPr>
        <w:pStyle w:val="TOC2"/>
        <w:rPr>
          <w:rFonts w:asciiTheme="minorHAnsi" w:hAnsiTheme="minorHAnsi"/>
          <w:bCs w:val="0"/>
          <w:noProof/>
          <w:szCs w:val="22"/>
          <w:lang w:val="en-NZ" w:eastAsia="en-NZ"/>
        </w:rPr>
      </w:pPr>
      <w:r w:rsidRPr="00D94651">
        <w:rPr>
          <w:rFonts w:cs="Arial"/>
          <w:noProof/>
        </w:rPr>
        <w:t>5.1</w:t>
      </w:r>
      <w:r>
        <w:rPr>
          <w:rFonts w:asciiTheme="minorHAnsi" w:hAnsiTheme="minorHAnsi"/>
          <w:bCs w:val="0"/>
          <w:noProof/>
          <w:szCs w:val="22"/>
          <w:lang w:val="en-NZ" w:eastAsia="en-NZ"/>
        </w:rPr>
        <w:tab/>
      </w:r>
      <w:r w:rsidRPr="00D94651">
        <w:rPr>
          <w:rFonts w:cs="Arial"/>
          <w:noProof/>
        </w:rPr>
        <w:t>Association between the literacy and numeracy requirements for NCEA and qualifications</w:t>
      </w:r>
      <w:r>
        <w:rPr>
          <w:noProof/>
        </w:rPr>
        <w:tab/>
      </w:r>
      <w:r>
        <w:rPr>
          <w:noProof/>
        </w:rPr>
        <w:fldChar w:fldCharType="begin"/>
      </w:r>
      <w:r>
        <w:rPr>
          <w:noProof/>
        </w:rPr>
        <w:instrText xml:space="preserve"> PAGEREF _Toc417920184 \h </w:instrText>
      </w:r>
      <w:r>
        <w:rPr>
          <w:noProof/>
        </w:rPr>
      </w:r>
      <w:r>
        <w:rPr>
          <w:noProof/>
        </w:rPr>
        <w:fldChar w:fldCharType="separate"/>
      </w:r>
      <w:r>
        <w:rPr>
          <w:noProof/>
        </w:rPr>
        <w:t>20</w:t>
      </w:r>
      <w:r>
        <w:rPr>
          <w:noProof/>
        </w:rPr>
        <w:fldChar w:fldCharType="end"/>
      </w:r>
    </w:p>
    <w:p w14:paraId="2A9397E9" w14:textId="77777777" w:rsidR="00D70D04" w:rsidRDefault="00D70D04">
      <w:pPr>
        <w:pStyle w:val="TOC2"/>
        <w:rPr>
          <w:rFonts w:asciiTheme="minorHAnsi" w:hAnsiTheme="minorHAnsi"/>
          <w:bCs w:val="0"/>
          <w:noProof/>
          <w:szCs w:val="22"/>
          <w:lang w:val="en-NZ" w:eastAsia="en-NZ"/>
        </w:rPr>
      </w:pPr>
      <w:r w:rsidRPr="00D94651">
        <w:rPr>
          <w:rFonts w:cs="Arial"/>
          <w:noProof/>
        </w:rPr>
        <w:t>5.2</w:t>
      </w:r>
      <w:r>
        <w:rPr>
          <w:rFonts w:asciiTheme="minorHAnsi" w:hAnsiTheme="minorHAnsi"/>
          <w:bCs w:val="0"/>
          <w:noProof/>
          <w:szCs w:val="22"/>
          <w:lang w:val="en-NZ" w:eastAsia="en-NZ"/>
        </w:rPr>
        <w:tab/>
      </w:r>
      <w:r w:rsidRPr="00D94651">
        <w:rPr>
          <w:rFonts w:cs="Arial"/>
          <w:noProof/>
        </w:rPr>
        <w:t>Reading and numeracy profiles of students</w:t>
      </w:r>
      <w:r>
        <w:rPr>
          <w:noProof/>
        </w:rPr>
        <w:tab/>
      </w:r>
      <w:r>
        <w:rPr>
          <w:noProof/>
        </w:rPr>
        <w:fldChar w:fldCharType="begin"/>
      </w:r>
      <w:r>
        <w:rPr>
          <w:noProof/>
        </w:rPr>
        <w:instrText xml:space="preserve"> PAGEREF _Toc417920185 \h </w:instrText>
      </w:r>
      <w:r>
        <w:rPr>
          <w:noProof/>
        </w:rPr>
      </w:r>
      <w:r>
        <w:rPr>
          <w:noProof/>
        </w:rPr>
        <w:fldChar w:fldCharType="separate"/>
      </w:r>
      <w:r>
        <w:rPr>
          <w:noProof/>
        </w:rPr>
        <w:t>25</w:t>
      </w:r>
      <w:r>
        <w:rPr>
          <w:noProof/>
        </w:rPr>
        <w:fldChar w:fldCharType="end"/>
      </w:r>
    </w:p>
    <w:p w14:paraId="7B378927" w14:textId="77777777" w:rsidR="00D70D04" w:rsidRDefault="00D70D04">
      <w:pPr>
        <w:pStyle w:val="TOC1"/>
        <w:tabs>
          <w:tab w:val="left" w:pos="440"/>
          <w:tab w:val="right" w:leader="dot" w:pos="8398"/>
        </w:tabs>
        <w:rPr>
          <w:rFonts w:asciiTheme="minorHAnsi" w:hAnsiTheme="minorHAnsi"/>
          <w:bCs w:val="0"/>
          <w:noProof/>
          <w:szCs w:val="22"/>
          <w:lang w:val="en-NZ" w:eastAsia="en-NZ"/>
        </w:rPr>
      </w:pPr>
      <w:r w:rsidRPr="00D94651">
        <w:rPr>
          <w:rFonts w:cs="Arial"/>
          <w:noProof/>
        </w:rPr>
        <w:t>6</w:t>
      </w:r>
      <w:r>
        <w:rPr>
          <w:rFonts w:asciiTheme="minorHAnsi" w:hAnsiTheme="minorHAnsi"/>
          <w:bCs w:val="0"/>
          <w:noProof/>
          <w:szCs w:val="22"/>
          <w:lang w:val="en-NZ" w:eastAsia="en-NZ"/>
        </w:rPr>
        <w:tab/>
      </w:r>
      <w:r w:rsidRPr="00D94651">
        <w:rPr>
          <w:rFonts w:cs="Arial"/>
          <w:noProof/>
        </w:rPr>
        <w:t>Aligning the learning progressions with the National Standards</w:t>
      </w:r>
      <w:r>
        <w:rPr>
          <w:noProof/>
        </w:rPr>
        <w:tab/>
      </w:r>
      <w:r>
        <w:rPr>
          <w:noProof/>
        </w:rPr>
        <w:fldChar w:fldCharType="begin"/>
      </w:r>
      <w:r>
        <w:rPr>
          <w:noProof/>
        </w:rPr>
        <w:instrText xml:space="preserve"> PAGEREF _Toc417920186 \h </w:instrText>
      </w:r>
      <w:r>
        <w:rPr>
          <w:noProof/>
        </w:rPr>
      </w:r>
      <w:r>
        <w:rPr>
          <w:noProof/>
        </w:rPr>
        <w:fldChar w:fldCharType="separate"/>
      </w:r>
      <w:r>
        <w:rPr>
          <w:noProof/>
        </w:rPr>
        <w:t>31</w:t>
      </w:r>
      <w:r>
        <w:rPr>
          <w:noProof/>
        </w:rPr>
        <w:fldChar w:fldCharType="end"/>
      </w:r>
    </w:p>
    <w:p w14:paraId="1C959043" w14:textId="77777777" w:rsidR="00D70D04" w:rsidRDefault="00D70D04">
      <w:pPr>
        <w:pStyle w:val="TOC1"/>
        <w:tabs>
          <w:tab w:val="left" w:pos="440"/>
          <w:tab w:val="right" w:leader="dot" w:pos="8398"/>
        </w:tabs>
        <w:rPr>
          <w:rFonts w:asciiTheme="minorHAnsi" w:hAnsiTheme="minorHAnsi"/>
          <w:bCs w:val="0"/>
          <w:noProof/>
          <w:szCs w:val="22"/>
          <w:lang w:val="en-NZ" w:eastAsia="en-NZ"/>
        </w:rPr>
      </w:pPr>
      <w:r w:rsidRPr="00D94651">
        <w:rPr>
          <w:rFonts w:cs="Arial"/>
          <w:noProof/>
        </w:rPr>
        <w:t>7</w:t>
      </w:r>
      <w:r>
        <w:rPr>
          <w:rFonts w:asciiTheme="minorHAnsi" w:hAnsiTheme="minorHAnsi"/>
          <w:bCs w:val="0"/>
          <w:noProof/>
          <w:szCs w:val="22"/>
          <w:lang w:val="en-NZ" w:eastAsia="en-NZ"/>
        </w:rPr>
        <w:tab/>
      </w:r>
      <w:r w:rsidRPr="00D94651">
        <w:rPr>
          <w:rFonts w:cs="Arial"/>
          <w:noProof/>
        </w:rPr>
        <w:t>Synthesis and Suggestions</w:t>
      </w:r>
      <w:r>
        <w:rPr>
          <w:noProof/>
        </w:rPr>
        <w:tab/>
      </w:r>
      <w:r>
        <w:rPr>
          <w:noProof/>
        </w:rPr>
        <w:fldChar w:fldCharType="begin"/>
      </w:r>
      <w:r>
        <w:rPr>
          <w:noProof/>
        </w:rPr>
        <w:instrText xml:space="preserve"> PAGEREF _Toc417920187 \h </w:instrText>
      </w:r>
      <w:r>
        <w:rPr>
          <w:noProof/>
        </w:rPr>
      </w:r>
      <w:r>
        <w:rPr>
          <w:noProof/>
        </w:rPr>
        <w:fldChar w:fldCharType="separate"/>
      </w:r>
      <w:r>
        <w:rPr>
          <w:noProof/>
        </w:rPr>
        <w:t>35</w:t>
      </w:r>
      <w:r>
        <w:rPr>
          <w:noProof/>
        </w:rPr>
        <w:fldChar w:fldCharType="end"/>
      </w:r>
    </w:p>
    <w:p w14:paraId="30CC0DD1" w14:textId="77777777" w:rsidR="00D70D04" w:rsidRDefault="00D70D04">
      <w:pPr>
        <w:pStyle w:val="TOC1"/>
        <w:tabs>
          <w:tab w:val="right" w:leader="dot" w:pos="8398"/>
        </w:tabs>
        <w:rPr>
          <w:rFonts w:asciiTheme="minorHAnsi" w:hAnsiTheme="minorHAnsi"/>
          <w:bCs w:val="0"/>
          <w:noProof/>
          <w:szCs w:val="22"/>
          <w:lang w:val="en-NZ" w:eastAsia="en-NZ"/>
        </w:rPr>
      </w:pPr>
      <w:r w:rsidRPr="00D94651">
        <w:rPr>
          <w:rFonts w:cs="Arial"/>
          <w:noProof/>
        </w:rPr>
        <w:t>References</w:t>
      </w:r>
      <w:r>
        <w:rPr>
          <w:noProof/>
        </w:rPr>
        <w:tab/>
      </w:r>
      <w:r>
        <w:rPr>
          <w:noProof/>
        </w:rPr>
        <w:fldChar w:fldCharType="begin"/>
      </w:r>
      <w:r>
        <w:rPr>
          <w:noProof/>
        </w:rPr>
        <w:instrText xml:space="preserve"> PAGEREF _Toc417920188 \h </w:instrText>
      </w:r>
      <w:r>
        <w:rPr>
          <w:noProof/>
        </w:rPr>
      </w:r>
      <w:r>
        <w:rPr>
          <w:noProof/>
        </w:rPr>
        <w:fldChar w:fldCharType="separate"/>
      </w:r>
      <w:r>
        <w:rPr>
          <w:noProof/>
        </w:rPr>
        <w:t>39</w:t>
      </w:r>
      <w:r>
        <w:rPr>
          <w:noProof/>
        </w:rPr>
        <w:fldChar w:fldCharType="end"/>
      </w:r>
    </w:p>
    <w:p w14:paraId="2B3D7A57" w14:textId="16E09F29" w:rsidR="00474A11" w:rsidRPr="00277BEC" w:rsidRDefault="00277BEC" w:rsidP="001076D0">
      <w:pPr>
        <w:tabs>
          <w:tab w:val="right" w:leader="dot" w:pos="8789"/>
        </w:tabs>
        <w:rPr>
          <w:rFonts w:ascii="Arial" w:hAnsi="Arial" w:cs="Arial"/>
        </w:rPr>
      </w:pPr>
      <w:r>
        <w:rPr>
          <w:rFonts w:ascii="Arial" w:hAnsi="Arial" w:cs="Arial"/>
        </w:rPr>
        <w:fldChar w:fldCharType="end"/>
      </w:r>
    </w:p>
    <w:p w14:paraId="708B2E06" w14:textId="77777777" w:rsidR="00D02894" w:rsidRPr="00277BEC" w:rsidRDefault="00D02894" w:rsidP="00430F68">
      <w:pPr>
        <w:rPr>
          <w:rFonts w:ascii="Arial" w:hAnsi="Arial" w:cs="Arial"/>
        </w:rPr>
      </w:pPr>
    </w:p>
    <w:p w14:paraId="267194E4" w14:textId="77777777" w:rsidR="00D02894" w:rsidRPr="00277BEC" w:rsidRDefault="00D02894">
      <w:pPr>
        <w:spacing w:after="0" w:line="240" w:lineRule="auto"/>
        <w:rPr>
          <w:rFonts w:ascii="Arial" w:hAnsi="Arial" w:cs="Arial"/>
        </w:rPr>
      </w:pPr>
      <w:r w:rsidRPr="00277BEC">
        <w:rPr>
          <w:rFonts w:ascii="Arial" w:hAnsi="Arial" w:cs="Arial"/>
        </w:rPr>
        <w:br w:type="page"/>
      </w:r>
    </w:p>
    <w:p w14:paraId="6E69BA47" w14:textId="77777777" w:rsidR="0004010E" w:rsidRPr="00277BEC" w:rsidRDefault="0004010E">
      <w:pPr>
        <w:spacing w:after="0" w:line="240" w:lineRule="auto"/>
        <w:rPr>
          <w:rFonts w:ascii="Arial" w:hAnsi="Arial" w:cs="Arial"/>
          <w:sz w:val="28"/>
          <w:szCs w:val="28"/>
        </w:rPr>
      </w:pPr>
      <w:r w:rsidRPr="00277BEC">
        <w:rPr>
          <w:rFonts w:ascii="Arial" w:hAnsi="Arial" w:cs="Arial"/>
          <w:sz w:val="28"/>
          <w:szCs w:val="28"/>
        </w:rPr>
        <w:lastRenderedPageBreak/>
        <w:t>List of Tables</w:t>
      </w:r>
    </w:p>
    <w:p w14:paraId="691C329F" w14:textId="77777777" w:rsidR="0004010E" w:rsidRPr="00277BEC" w:rsidRDefault="0004010E">
      <w:pPr>
        <w:spacing w:after="0" w:line="240" w:lineRule="auto"/>
        <w:rPr>
          <w:rFonts w:ascii="Arial" w:hAnsi="Arial" w:cs="Arial"/>
        </w:rPr>
      </w:pPr>
    </w:p>
    <w:p w14:paraId="0733AA69" w14:textId="77777777" w:rsidR="007E281B" w:rsidRPr="00277BEC" w:rsidRDefault="00D71DDD" w:rsidP="001076D0">
      <w:pPr>
        <w:pStyle w:val="TableofFigures"/>
        <w:tabs>
          <w:tab w:val="right" w:leader="dot" w:pos="8789"/>
        </w:tabs>
        <w:rPr>
          <w:rFonts w:cs="Arial"/>
          <w:bCs w:val="0"/>
          <w:noProof/>
          <w:sz w:val="24"/>
          <w:lang w:val="en-NZ" w:eastAsia="ja-JP"/>
        </w:rPr>
      </w:pPr>
      <w:r w:rsidRPr="00277BEC">
        <w:rPr>
          <w:rFonts w:cs="Arial"/>
        </w:rPr>
        <w:fldChar w:fldCharType="begin"/>
      </w:r>
      <w:r w:rsidR="00DC7E07" w:rsidRPr="00277BEC">
        <w:rPr>
          <w:rFonts w:cs="Arial"/>
        </w:rPr>
        <w:instrText xml:space="preserve"> TOC \c "Table" </w:instrText>
      </w:r>
      <w:r w:rsidRPr="00277BEC">
        <w:rPr>
          <w:rFonts w:cs="Arial"/>
        </w:rPr>
        <w:fldChar w:fldCharType="separate"/>
      </w:r>
      <w:r w:rsidR="007E281B" w:rsidRPr="00277BEC">
        <w:rPr>
          <w:rFonts w:cs="Arial"/>
          <w:noProof/>
        </w:rPr>
        <w:t>Table 1 Cut points on the Assessment Tool scale for steps on the learning progressions</w:t>
      </w:r>
      <w:r w:rsidR="007E281B" w:rsidRPr="00277BEC">
        <w:rPr>
          <w:rFonts w:cs="Arial"/>
          <w:noProof/>
        </w:rPr>
        <w:tab/>
      </w:r>
      <w:r w:rsidR="007E281B" w:rsidRPr="00277BEC">
        <w:rPr>
          <w:rFonts w:cs="Arial"/>
          <w:noProof/>
        </w:rPr>
        <w:fldChar w:fldCharType="begin"/>
      </w:r>
      <w:r w:rsidR="007E281B" w:rsidRPr="00277BEC">
        <w:rPr>
          <w:rFonts w:cs="Arial"/>
          <w:noProof/>
        </w:rPr>
        <w:instrText xml:space="preserve"> PAGEREF _Toc270604920 \h </w:instrText>
      </w:r>
      <w:r w:rsidR="007E281B" w:rsidRPr="00277BEC">
        <w:rPr>
          <w:rFonts w:cs="Arial"/>
          <w:noProof/>
        </w:rPr>
      </w:r>
      <w:r w:rsidR="007E281B" w:rsidRPr="00277BEC">
        <w:rPr>
          <w:rFonts w:cs="Arial"/>
          <w:noProof/>
        </w:rPr>
        <w:fldChar w:fldCharType="separate"/>
      </w:r>
      <w:r w:rsidR="00277BEC" w:rsidRPr="00277BEC">
        <w:rPr>
          <w:rFonts w:cs="Arial"/>
          <w:noProof/>
        </w:rPr>
        <w:t>9</w:t>
      </w:r>
      <w:r w:rsidR="007E281B" w:rsidRPr="00277BEC">
        <w:rPr>
          <w:rFonts w:cs="Arial"/>
          <w:noProof/>
        </w:rPr>
        <w:fldChar w:fldCharType="end"/>
      </w:r>
    </w:p>
    <w:p w14:paraId="641D31EB"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Table 2 Data sources</w:t>
      </w:r>
      <w:r w:rsidRPr="00277BEC">
        <w:rPr>
          <w:rFonts w:cs="Arial"/>
          <w:noProof/>
        </w:rPr>
        <w:tab/>
      </w:r>
      <w:r w:rsidRPr="00277BEC">
        <w:rPr>
          <w:rFonts w:cs="Arial"/>
          <w:noProof/>
        </w:rPr>
        <w:fldChar w:fldCharType="begin"/>
      </w:r>
      <w:r w:rsidRPr="00277BEC">
        <w:rPr>
          <w:rFonts w:cs="Arial"/>
          <w:noProof/>
        </w:rPr>
        <w:instrText xml:space="preserve"> PAGEREF _Toc270604921 \h </w:instrText>
      </w:r>
      <w:r w:rsidRPr="00277BEC">
        <w:rPr>
          <w:rFonts w:cs="Arial"/>
          <w:noProof/>
        </w:rPr>
      </w:r>
      <w:r w:rsidRPr="00277BEC">
        <w:rPr>
          <w:rFonts w:cs="Arial"/>
          <w:noProof/>
        </w:rPr>
        <w:fldChar w:fldCharType="separate"/>
      </w:r>
      <w:r w:rsidR="00277BEC" w:rsidRPr="00277BEC">
        <w:rPr>
          <w:rFonts w:cs="Arial"/>
          <w:noProof/>
        </w:rPr>
        <w:t>13</w:t>
      </w:r>
      <w:r w:rsidRPr="00277BEC">
        <w:rPr>
          <w:rFonts w:cs="Arial"/>
          <w:noProof/>
        </w:rPr>
        <w:fldChar w:fldCharType="end"/>
      </w:r>
    </w:p>
    <w:p w14:paraId="4F10F1EA"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Table 3 Comparison of the subset of the school sample with Assessment Tool results in reading, with national demographic data, showing percentages of students in each decile, gender and ethnic category.</w:t>
      </w:r>
      <w:r w:rsidRPr="00277BEC">
        <w:rPr>
          <w:rFonts w:cs="Arial"/>
          <w:noProof/>
        </w:rPr>
        <w:tab/>
      </w:r>
      <w:r w:rsidRPr="00277BEC">
        <w:rPr>
          <w:rFonts w:cs="Arial"/>
          <w:noProof/>
        </w:rPr>
        <w:fldChar w:fldCharType="begin"/>
      </w:r>
      <w:r w:rsidRPr="00277BEC">
        <w:rPr>
          <w:rFonts w:cs="Arial"/>
          <w:noProof/>
        </w:rPr>
        <w:instrText xml:space="preserve"> PAGEREF _Toc270604922 \h </w:instrText>
      </w:r>
      <w:r w:rsidRPr="00277BEC">
        <w:rPr>
          <w:rFonts w:cs="Arial"/>
          <w:noProof/>
        </w:rPr>
      </w:r>
      <w:r w:rsidRPr="00277BEC">
        <w:rPr>
          <w:rFonts w:cs="Arial"/>
          <w:noProof/>
        </w:rPr>
        <w:fldChar w:fldCharType="separate"/>
      </w:r>
      <w:r w:rsidR="00277BEC" w:rsidRPr="00277BEC">
        <w:rPr>
          <w:rFonts w:cs="Arial"/>
          <w:noProof/>
        </w:rPr>
        <w:t>14</w:t>
      </w:r>
      <w:r w:rsidRPr="00277BEC">
        <w:rPr>
          <w:rFonts w:cs="Arial"/>
          <w:noProof/>
        </w:rPr>
        <w:fldChar w:fldCharType="end"/>
      </w:r>
    </w:p>
    <w:p w14:paraId="581D8D46"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Table 4 Comparison of the subset of the school sample with Assessment Tool results in numeracy, with national demographic data, showing percentages of students in each decile, gender and ethnic category.</w:t>
      </w:r>
      <w:r w:rsidRPr="00277BEC">
        <w:rPr>
          <w:rFonts w:cs="Arial"/>
          <w:noProof/>
        </w:rPr>
        <w:tab/>
      </w:r>
      <w:r w:rsidRPr="00277BEC">
        <w:rPr>
          <w:rFonts w:cs="Arial"/>
          <w:noProof/>
        </w:rPr>
        <w:fldChar w:fldCharType="begin"/>
      </w:r>
      <w:r w:rsidRPr="00277BEC">
        <w:rPr>
          <w:rFonts w:cs="Arial"/>
          <w:noProof/>
        </w:rPr>
        <w:instrText xml:space="preserve"> PAGEREF _Toc270604923 \h </w:instrText>
      </w:r>
      <w:r w:rsidRPr="00277BEC">
        <w:rPr>
          <w:rFonts w:cs="Arial"/>
          <w:noProof/>
        </w:rPr>
      </w:r>
      <w:r w:rsidRPr="00277BEC">
        <w:rPr>
          <w:rFonts w:cs="Arial"/>
          <w:noProof/>
        </w:rPr>
        <w:fldChar w:fldCharType="separate"/>
      </w:r>
      <w:r w:rsidR="00277BEC" w:rsidRPr="00277BEC">
        <w:rPr>
          <w:rFonts w:cs="Arial"/>
          <w:noProof/>
        </w:rPr>
        <w:t>15</w:t>
      </w:r>
      <w:r w:rsidRPr="00277BEC">
        <w:rPr>
          <w:rFonts w:cs="Arial"/>
          <w:noProof/>
        </w:rPr>
        <w:fldChar w:fldCharType="end"/>
      </w:r>
    </w:p>
    <w:p w14:paraId="00C1AC85"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Table 6  Percentages of students in the school sample attaining the literacy requirement for NCEA by either or both of the unit and achievement standard pathways, who achieved NCEA Level 1 and NCEA Level 2, disaggregated by year level.</w:t>
      </w:r>
      <w:r w:rsidRPr="00277BEC">
        <w:rPr>
          <w:rFonts w:cs="Arial"/>
          <w:noProof/>
        </w:rPr>
        <w:tab/>
      </w:r>
      <w:r w:rsidRPr="00277BEC">
        <w:rPr>
          <w:rFonts w:cs="Arial"/>
          <w:noProof/>
        </w:rPr>
        <w:fldChar w:fldCharType="begin"/>
      </w:r>
      <w:r w:rsidRPr="00277BEC">
        <w:rPr>
          <w:rFonts w:cs="Arial"/>
          <w:noProof/>
        </w:rPr>
        <w:instrText xml:space="preserve"> PAGEREF _Toc270604924 \h </w:instrText>
      </w:r>
      <w:r w:rsidRPr="00277BEC">
        <w:rPr>
          <w:rFonts w:cs="Arial"/>
          <w:noProof/>
        </w:rPr>
      </w:r>
      <w:r w:rsidRPr="00277BEC">
        <w:rPr>
          <w:rFonts w:cs="Arial"/>
          <w:noProof/>
        </w:rPr>
        <w:fldChar w:fldCharType="separate"/>
      </w:r>
      <w:r w:rsidR="00277BEC" w:rsidRPr="00277BEC">
        <w:rPr>
          <w:rFonts w:cs="Arial"/>
          <w:noProof/>
        </w:rPr>
        <w:t>21</w:t>
      </w:r>
      <w:r w:rsidRPr="00277BEC">
        <w:rPr>
          <w:rFonts w:cs="Arial"/>
          <w:noProof/>
        </w:rPr>
        <w:fldChar w:fldCharType="end"/>
      </w:r>
    </w:p>
    <w:p w14:paraId="210427FC"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Table 8 Percentages of students in the tertiary cohort at each step of the reading scale attaining the literacy requirement for NCEA.</w:t>
      </w:r>
      <w:r w:rsidRPr="00277BEC">
        <w:rPr>
          <w:rFonts w:cs="Arial"/>
          <w:noProof/>
        </w:rPr>
        <w:tab/>
      </w:r>
      <w:r w:rsidRPr="00277BEC">
        <w:rPr>
          <w:rFonts w:cs="Arial"/>
          <w:noProof/>
        </w:rPr>
        <w:fldChar w:fldCharType="begin"/>
      </w:r>
      <w:r w:rsidRPr="00277BEC">
        <w:rPr>
          <w:rFonts w:cs="Arial"/>
          <w:noProof/>
        </w:rPr>
        <w:instrText xml:space="preserve"> PAGEREF _Toc270604925 \h </w:instrText>
      </w:r>
      <w:r w:rsidRPr="00277BEC">
        <w:rPr>
          <w:rFonts w:cs="Arial"/>
          <w:noProof/>
        </w:rPr>
      </w:r>
      <w:r w:rsidRPr="00277BEC">
        <w:rPr>
          <w:rFonts w:cs="Arial"/>
          <w:noProof/>
        </w:rPr>
        <w:fldChar w:fldCharType="separate"/>
      </w:r>
      <w:r w:rsidR="00277BEC" w:rsidRPr="00277BEC">
        <w:rPr>
          <w:rFonts w:cs="Arial"/>
          <w:noProof/>
        </w:rPr>
        <w:t>25</w:t>
      </w:r>
      <w:r w:rsidRPr="00277BEC">
        <w:rPr>
          <w:rFonts w:cs="Arial"/>
          <w:noProof/>
        </w:rPr>
        <w:fldChar w:fldCharType="end"/>
      </w:r>
    </w:p>
    <w:p w14:paraId="377EB4D5"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Table 9 The percentage distribution on the numeracy steps of year 11 and 12 students from the school sample attaining the NCEA numeracy requirement under each set of rules.</w:t>
      </w:r>
      <w:r w:rsidRPr="00277BEC">
        <w:rPr>
          <w:rFonts w:cs="Arial"/>
          <w:noProof/>
        </w:rPr>
        <w:tab/>
      </w:r>
      <w:r w:rsidRPr="00277BEC">
        <w:rPr>
          <w:rFonts w:cs="Arial"/>
          <w:noProof/>
        </w:rPr>
        <w:fldChar w:fldCharType="begin"/>
      </w:r>
      <w:r w:rsidRPr="00277BEC">
        <w:rPr>
          <w:rFonts w:cs="Arial"/>
          <w:noProof/>
        </w:rPr>
        <w:instrText xml:space="preserve"> PAGEREF _Toc270604926 \h </w:instrText>
      </w:r>
      <w:r w:rsidRPr="00277BEC">
        <w:rPr>
          <w:rFonts w:cs="Arial"/>
          <w:noProof/>
        </w:rPr>
      </w:r>
      <w:r w:rsidRPr="00277BEC">
        <w:rPr>
          <w:rFonts w:cs="Arial"/>
          <w:noProof/>
        </w:rPr>
        <w:fldChar w:fldCharType="separate"/>
      </w:r>
      <w:r w:rsidR="00277BEC" w:rsidRPr="00277BEC">
        <w:rPr>
          <w:rFonts w:cs="Arial"/>
          <w:noProof/>
        </w:rPr>
        <w:t>26</w:t>
      </w:r>
      <w:r w:rsidRPr="00277BEC">
        <w:rPr>
          <w:rFonts w:cs="Arial"/>
          <w:noProof/>
        </w:rPr>
        <w:fldChar w:fldCharType="end"/>
      </w:r>
    </w:p>
    <w:p w14:paraId="12EC1CE5"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Table 10 The percentage distribution on the reading steps of year 11 and 12 students from the school sample attaining the NCEA literacy requirement under each set of rules.</w:t>
      </w:r>
      <w:r w:rsidRPr="00277BEC">
        <w:rPr>
          <w:rFonts w:cs="Arial"/>
          <w:noProof/>
        </w:rPr>
        <w:tab/>
      </w:r>
      <w:r w:rsidRPr="00277BEC">
        <w:rPr>
          <w:rFonts w:cs="Arial"/>
          <w:noProof/>
        </w:rPr>
        <w:fldChar w:fldCharType="begin"/>
      </w:r>
      <w:r w:rsidRPr="00277BEC">
        <w:rPr>
          <w:rFonts w:cs="Arial"/>
          <w:noProof/>
        </w:rPr>
        <w:instrText xml:space="preserve"> PAGEREF _Toc270604927 \h </w:instrText>
      </w:r>
      <w:r w:rsidRPr="00277BEC">
        <w:rPr>
          <w:rFonts w:cs="Arial"/>
          <w:noProof/>
        </w:rPr>
      </w:r>
      <w:r w:rsidRPr="00277BEC">
        <w:rPr>
          <w:rFonts w:cs="Arial"/>
          <w:noProof/>
        </w:rPr>
        <w:fldChar w:fldCharType="separate"/>
      </w:r>
      <w:r w:rsidR="00277BEC" w:rsidRPr="00277BEC">
        <w:rPr>
          <w:rFonts w:cs="Arial"/>
          <w:noProof/>
        </w:rPr>
        <w:t>27</w:t>
      </w:r>
      <w:r w:rsidRPr="00277BEC">
        <w:rPr>
          <w:rFonts w:cs="Arial"/>
          <w:noProof/>
        </w:rPr>
        <w:fldChar w:fldCharType="end"/>
      </w:r>
    </w:p>
    <w:p w14:paraId="071D4055"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 xml:space="preserve">Table 11  Distributions on the numeracy steps of year 8 students in the school sample judged </w:t>
      </w:r>
      <w:r w:rsidRPr="00277BEC">
        <w:rPr>
          <w:rFonts w:cs="Arial"/>
          <w:i/>
          <w:noProof/>
        </w:rPr>
        <w:t>well below</w:t>
      </w:r>
      <w:r w:rsidRPr="00277BEC">
        <w:rPr>
          <w:rFonts w:cs="Arial"/>
          <w:noProof/>
        </w:rPr>
        <w:t xml:space="preserve">, </w:t>
      </w:r>
      <w:r w:rsidRPr="00277BEC">
        <w:rPr>
          <w:rFonts w:cs="Arial"/>
          <w:i/>
          <w:noProof/>
        </w:rPr>
        <w:t>below</w:t>
      </w:r>
      <w:r w:rsidRPr="00277BEC">
        <w:rPr>
          <w:rFonts w:cs="Arial"/>
          <w:noProof/>
        </w:rPr>
        <w:t xml:space="preserve">, </w:t>
      </w:r>
      <w:r w:rsidRPr="00277BEC">
        <w:rPr>
          <w:rFonts w:cs="Arial"/>
          <w:i/>
          <w:noProof/>
        </w:rPr>
        <w:t>a</w:t>
      </w:r>
      <w:r w:rsidRPr="00277BEC">
        <w:rPr>
          <w:rFonts w:cs="Arial"/>
          <w:noProof/>
        </w:rPr>
        <w:t xml:space="preserve">t and </w:t>
      </w:r>
      <w:r w:rsidRPr="00277BEC">
        <w:rPr>
          <w:rFonts w:cs="Arial"/>
          <w:i/>
          <w:noProof/>
        </w:rPr>
        <w:t>above</w:t>
      </w:r>
      <w:r w:rsidRPr="00277BEC">
        <w:rPr>
          <w:rFonts w:cs="Arial"/>
          <w:noProof/>
        </w:rPr>
        <w:t xml:space="preserve"> the End of Year 8 Mathematics Standard.</w:t>
      </w:r>
      <w:r w:rsidRPr="00277BEC">
        <w:rPr>
          <w:rFonts w:cs="Arial"/>
          <w:noProof/>
        </w:rPr>
        <w:tab/>
      </w:r>
      <w:r w:rsidRPr="00277BEC">
        <w:rPr>
          <w:rFonts w:cs="Arial"/>
          <w:noProof/>
        </w:rPr>
        <w:fldChar w:fldCharType="begin"/>
      </w:r>
      <w:r w:rsidRPr="00277BEC">
        <w:rPr>
          <w:rFonts w:cs="Arial"/>
          <w:noProof/>
        </w:rPr>
        <w:instrText xml:space="preserve"> PAGEREF _Toc270604928 \h </w:instrText>
      </w:r>
      <w:r w:rsidRPr="00277BEC">
        <w:rPr>
          <w:rFonts w:cs="Arial"/>
          <w:noProof/>
        </w:rPr>
      </w:r>
      <w:r w:rsidRPr="00277BEC">
        <w:rPr>
          <w:rFonts w:cs="Arial"/>
          <w:noProof/>
        </w:rPr>
        <w:fldChar w:fldCharType="separate"/>
      </w:r>
      <w:r w:rsidR="00277BEC" w:rsidRPr="00277BEC">
        <w:rPr>
          <w:rFonts w:cs="Arial"/>
          <w:noProof/>
        </w:rPr>
        <w:t>31</w:t>
      </w:r>
      <w:r w:rsidRPr="00277BEC">
        <w:rPr>
          <w:rFonts w:cs="Arial"/>
          <w:noProof/>
        </w:rPr>
        <w:fldChar w:fldCharType="end"/>
      </w:r>
    </w:p>
    <w:p w14:paraId="0839A6C4"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 xml:space="preserve">Table 12  Distributions on the reading steps of year 8 students in the school sample judged </w:t>
      </w:r>
      <w:r w:rsidRPr="00277BEC">
        <w:rPr>
          <w:rFonts w:cs="Arial"/>
          <w:i/>
          <w:noProof/>
        </w:rPr>
        <w:t>well below</w:t>
      </w:r>
      <w:r w:rsidRPr="00277BEC">
        <w:rPr>
          <w:rFonts w:cs="Arial"/>
          <w:noProof/>
        </w:rPr>
        <w:t xml:space="preserve">, </w:t>
      </w:r>
      <w:r w:rsidRPr="00277BEC">
        <w:rPr>
          <w:rFonts w:cs="Arial"/>
          <w:i/>
          <w:noProof/>
        </w:rPr>
        <w:t>below</w:t>
      </w:r>
      <w:r w:rsidRPr="00277BEC">
        <w:rPr>
          <w:rFonts w:cs="Arial"/>
          <w:noProof/>
        </w:rPr>
        <w:t xml:space="preserve">, </w:t>
      </w:r>
      <w:r w:rsidRPr="00277BEC">
        <w:rPr>
          <w:rFonts w:cs="Arial"/>
          <w:i/>
          <w:noProof/>
        </w:rPr>
        <w:t>at</w:t>
      </w:r>
      <w:r w:rsidRPr="00277BEC">
        <w:rPr>
          <w:rFonts w:cs="Arial"/>
          <w:noProof/>
        </w:rPr>
        <w:t xml:space="preserve"> and </w:t>
      </w:r>
      <w:r w:rsidRPr="00277BEC">
        <w:rPr>
          <w:rFonts w:cs="Arial"/>
          <w:i/>
          <w:noProof/>
        </w:rPr>
        <w:t>above</w:t>
      </w:r>
      <w:r w:rsidRPr="00277BEC">
        <w:rPr>
          <w:rFonts w:cs="Arial"/>
          <w:noProof/>
        </w:rPr>
        <w:t xml:space="preserve"> the End of Year 8 Reading Standard.</w:t>
      </w:r>
      <w:r w:rsidRPr="00277BEC">
        <w:rPr>
          <w:rFonts w:cs="Arial"/>
          <w:noProof/>
        </w:rPr>
        <w:tab/>
      </w:r>
      <w:r w:rsidRPr="00277BEC">
        <w:rPr>
          <w:rFonts w:cs="Arial"/>
          <w:noProof/>
        </w:rPr>
        <w:fldChar w:fldCharType="begin"/>
      </w:r>
      <w:r w:rsidRPr="00277BEC">
        <w:rPr>
          <w:rFonts w:cs="Arial"/>
          <w:noProof/>
        </w:rPr>
        <w:instrText xml:space="preserve"> PAGEREF _Toc270604929 \h </w:instrText>
      </w:r>
      <w:r w:rsidRPr="00277BEC">
        <w:rPr>
          <w:rFonts w:cs="Arial"/>
          <w:noProof/>
        </w:rPr>
      </w:r>
      <w:r w:rsidRPr="00277BEC">
        <w:rPr>
          <w:rFonts w:cs="Arial"/>
          <w:noProof/>
        </w:rPr>
        <w:fldChar w:fldCharType="separate"/>
      </w:r>
      <w:r w:rsidR="00277BEC" w:rsidRPr="00277BEC">
        <w:rPr>
          <w:rFonts w:cs="Arial"/>
          <w:noProof/>
        </w:rPr>
        <w:t>32</w:t>
      </w:r>
      <w:r w:rsidRPr="00277BEC">
        <w:rPr>
          <w:rFonts w:cs="Arial"/>
          <w:noProof/>
        </w:rPr>
        <w:fldChar w:fldCharType="end"/>
      </w:r>
    </w:p>
    <w:p w14:paraId="26BF7549" w14:textId="77777777" w:rsidR="007E281B" w:rsidRPr="00277BEC" w:rsidRDefault="007E281B" w:rsidP="001076D0">
      <w:pPr>
        <w:pStyle w:val="TableofFigures"/>
        <w:tabs>
          <w:tab w:val="right" w:leader="dot" w:pos="8789"/>
        </w:tabs>
        <w:rPr>
          <w:rFonts w:cs="Arial"/>
          <w:bCs w:val="0"/>
          <w:noProof/>
          <w:sz w:val="24"/>
          <w:lang w:val="en-NZ" w:eastAsia="ja-JP"/>
        </w:rPr>
      </w:pPr>
      <w:r w:rsidRPr="00277BEC">
        <w:rPr>
          <w:rFonts w:cs="Arial"/>
          <w:noProof/>
        </w:rPr>
        <w:t xml:space="preserve">Table 13  Percentages and numbers of year 8 students from the school sample </w:t>
      </w:r>
      <w:r w:rsidRPr="00277BEC">
        <w:rPr>
          <w:rFonts w:cs="Arial"/>
          <w:i/>
          <w:noProof/>
        </w:rPr>
        <w:t>at</w:t>
      </w:r>
      <w:r w:rsidRPr="00277BEC">
        <w:rPr>
          <w:rFonts w:cs="Arial"/>
          <w:noProof/>
        </w:rPr>
        <w:t xml:space="preserve"> or </w:t>
      </w:r>
      <w:r w:rsidRPr="00277BEC">
        <w:rPr>
          <w:rFonts w:cs="Arial"/>
          <w:i/>
          <w:noProof/>
        </w:rPr>
        <w:t>above</w:t>
      </w:r>
      <w:r w:rsidRPr="00277BEC">
        <w:rPr>
          <w:rFonts w:cs="Arial"/>
          <w:noProof/>
        </w:rPr>
        <w:t xml:space="preserve"> the End of Year 8 Mathematics Standard disaggregated by numeracy step.</w:t>
      </w:r>
      <w:r w:rsidRPr="00277BEC">
        <w:rPr>
          <w:rFonts w:cs="Arial"/>
          <w:noProof/>
        </w:rPr>
        <w:tab/>
      </w:r>
      <w:r w:rsidRPr="00277BEC">
        <w:rPr>
          <w:rFonts w:cs="Arial"/>
          <w:noProof/>
        </w:rPr>
        <w:fldChar w:fldCharType="begin"/>
      </w:r>
      <w:r w:rsidRPr="00277BEC">
        <w:rPr>
          <w:rFonts w:cs="Arial"/>
          <w:noProof/>
        </w:rPr>
        <w:instrText xml:space="preserve"> PAGEREF _Toc270604930 \h </w:instrText>
      </w:r>
      <w:r w:rsidRPr="00277BEC">
        <w:rPr>
          <w:rFonts w:cs="Arial"/>
          <w:noProof/>
        </w:rPr>
      </w:r>
      <w:r w:rsidRPr="00277BEC">
        <w:rPr>
          <w:rFonts w:cs="Arial"/>
          <w:noProof/>
        </w:rPr>
        <w:fldChar w:fldCharType="separate"/>
      </w:r>
      <w:r w:rsidR="00277BEC" w:rsidRPr="00277BEC">
        <w:rPr>
          <w:rFonts w:cs="Arial"/>
          <w:noProof/>
        </w:rPr>
        <w:t>33</w:t>
      </w:r>
      <w:r w:rsidRPr="00277BEC">
        <w:rPr>
          <w:rFonts w:cs="Arial"/>
          <w:noProof/>
        </w:rPr>
        <w:fldChar w:fldCharType="end"/>
      </w:r>
    </w:p>
    <w:p w14:paraId="1A034152" w14:textId="77777777" w:rsidR="007E281B" w:rsidRPr="00277BEC" w:rsidRDefault="007E281B" w:rsidP="001076D0">
      <w:pPr>
        <w:pStyle w:val="TableofFigures"/>
        <w:tabs>
          <w:tab w:val="right" w:leader="dot" w:pos="8789"/>
        </w:tabs>
        <w:rPr>
          <w:rFonts w:cs="Arial"/>
          <w:noProof/>
        </w:rPr>
      </w:pPr>
      <w:r w:rsidRPr="00277BEC">
        <w:rPr>
          <w:rFonts w:cs="Arial"/>
          <w:noProof/>
        </w:rPr>
        <w:t xml:space="preserve">Table 14  Percentages and numbers of year 8 students from the school sample </w:t>
      </w:r>
      <w:r w:rsidRPr="00277BEC">
        <w:rPr>
          <w:rFonts w:cs="Arial"/>
          <w:i/>
          <w:noProof/>
        </w:rPr>
        <w:t>at</w:t>
      </w:r>
      <w:r w:rsidRPr="00277BEC">
        <w:rPr>
          <w:rFonts w:cs="Arial"/>
          <w:noProof/>
        </w:rPr>
        <w:t xml:space="preserve"> or </w:t>
      </w:r>
      <w:r w:rsidRPr="00277BEC">
        <w:rPr>
          <w:rFonts w:cs="Arial"/>
          <w:i/>
          <w:noProof/>
        </w:rPr>
        <w:t>above</w:t>
      </w:r>
      <w:r w:rsidRPr="00277BEC">
        <w:rPr>
          <w:rFonts w:cs="Arial"/>
          <w:noProof/>
        </w:rPr>
        <w:t xml:space="preserve"> the End of Year 8 Reading Standard disaggregated by reading step.</w:t>
      </w:r>
      <w:r w:rsidRPr="00277BEC">
        <w:rPr>
          <w:rFonts w:cs="Arial"/>
          <w:noProof/>
        </w:rPr>
        <w:tab/>
      </w:r>
      <w:r w:rsidRPr="00277BEC">
        <w:rPr>
          <w:rFonts w:cs="Arial"/>
          <w:noProof/>
        </w:rPr>
        <w:fldChar w:fldCharType="begin"/>
      </w:r>
      <w:r w:rsidRPr="00277BEC">
        <w:rPr>
          <w:rFonts w:cs="Arial"/>
          <w:noProof/>
        </w:rPr>
        <w:instrText xml:space="preserve"> PAGEREF _Toc270604931 \h </w:instrText>
      </w:r>
      <w:r w:rsidRPr="00277BEC">
        <w:rPr>
          <w:rFonts w:cs="Arial"/>
          <w:noProof/>
        </w:rPr>
      </w:r>
      <w:r w:rsidRPr="00277BEC">
        <w:rPr>
          <w:rFonts w:cs="Arial"/>
          <w:noProof/>
        </w:rPr>
        <w:fldChar w:fldCharType="separate"/>
      </w:r>
      <w:r w:rsidR="00277BEC" w:rsidRPr="00277BEC">
        <w:rPr>
          <w:rFonts w:cs="Arial"/>
          <w:noProof/>
        </w:rPr>
        <w:t>34</w:t>
      </w:r>
      <w:r w:rsidRPr="00277BEC">
        <w:rPr>
          <w:rFonts w:cs="Arial"/>
          <w:noProof/>
        </w:rPr>
        <w:fldChar w:fldCharType="end"/>
      </w:r>
    </w:p>
    <w:p w14:paraId="09EDAB6D" w14:textId="7DD636C2" w:rsidR="007E281B" w:rsidRPr="00277BEC" w:rsidRDefault="007E281B">
      <w:pPr>
        <w:spacing w:after="0" w:line="240" w:lineRule="auto"/>
        <w:jc w:val="left"/>
        <w:rPr>
          <w:rFonts w:ascii="Arial" w:hAnsi="Arial" w:cs="Arial"/>
          <w:noProof/>
        </w:rPr>
      </w:pPr>
      <w:r w:rsidRPr="00277BEC">
        <w:rPr>
          <w:rFonts w:ascii="Arial" w:hAnsi="Arial" w:cs="Arial"/>
          <w:noProof/>
        </w:rPr>
        <w:br w:type="page"/>
      </w:r>
    </w:p>
    <w:p w14:paraId="27E574B2" w14:textId="0A2B5EEF" w:rsidR="00DC7E07" w:rsidRPr="00277BEC" w:rsidRDefault="00D71DDD" w:rsidP="006E19C5">
      <w:pPr>
        <w:spacing w:after="0" w:line="240" w:lineRule="auto"/>
        <w:jc w:val="left"/>
        <w:rPr>
          <w:rFonts w:ascii="Arial" w:hAnsi="Arial" w:cs="Arial"/>
          <w:sz w:val="28"/>
          <w:szCs w:val="28"/>
        </w:rPr>
      </w:pPr>
      <w:r w:rsidRPr="00277BEC">
        <w:rPr>
          <w:rFonts w:ascii="Arial" w:hAnsi="Arial" w:cs="Arial"/>
        </w:rPr>
        <w:lastRenderedPageBreak/>
        <w:fldChar w:fldCharType="end"/>
      </w:r>
      <w:r w:rsidR="0004010E" w:rsidRPr="00277BEC">
        <w:rPr>
          <w:rFonts w:ascii="Arial" w:hAnsi="Arial" w:cs="Arial"/>
          <w:sz w:val="28"/>
          <w:szCs w:val="28"/>
        </w:rPr>
        <w:t>List of Figures</w:t>
      </w:r>
    </w:p>
    <w:p w14:paraId="28BA8617" w14:textId="77777777" w:rsidR="00DC7E07" w:rsidRPr="00277BEC" w:rsidRDefault="00DC7E07">
      <w:pPr>
        <w:spacing w:after="0" w:line="240" w:lineRule="auto"/>
        <w:rPr>
          <w:rFonts w:ascii="Arial" w:hAnsi="Arial" w:cs="Arial"/>
          <w:b/>
          <w:sz w:val="28"/>
          <w:szCs w:val="28"/>
        </w:rPr>
      </w:pPr>
    </w:p>
    <w:p w14:paraId="6CD0F0F1" w14:textId="77777777" w:rsidR="00585F6C" w:rsidRDefault="00277BEC">
      <w:pPr>
        <w:pStyle w:val="TableofFigures"/>
        <w:tabs>
          <w:tab w:val="right" w:leader="dot" w:pos="8398"/>
        </w:tabs>
        <w:rPr>
          <w:rFonts w:asciiTheme="minorHAnsi" w:hAnsiTheme="minorHAnsi"/>
          <w:bCs w:val="0"/>
          <w:noProof/>
          <w:szCs w:val="22"/>
          <w:lang w:val="en-NZ" w:eastAsia="en-NZ"/>
        </w:rPr>
      </w:pPr>
      <w:r>
        <w:rPr>
          <w:rFonts w:cs="Arial"/>
        </w:rPr>
        <w:fldChar w:fldCharType="begin"/>
      </w:r>
      <w:r>
        <w:rPr>
          <w:rFonts w:cs="Arial"/>
        </w:rPr>
        <w:instrText xml:space="preserve"> TOC \c "Figure" </w:instrText>
      </w:r>
      <w:r>
        <w:rPr>
          <w:rFonts w:cs="Arial"/>
        </w:rPr>
        <w:fldChar w:fldCharType="separate"/>
      </w:r>
      <w:r w:rsidR="00585F6C" w:rsidRPr="001E1185">
        <w:rPr>
          <w:rFonts w:cs="Arial"/>
          <w:b/>
          <w:noProof/>
        </w:rPr>
        <w:t>Figure 1</w:t>
      </w:r>
      <w:r w:rsidR="00585F6C" w:rsidRPr="001E1185">
        <w:rPr>
          <w:rFonts w:cs="Arial"/>
          <w:noProof/>
        </w:rPr>
        <w:t xml:space="preserve"> Methodology</w:t>
      </w:r>
      <w:r w:rsidR="00585F6C">
        <w:rPr>
          <w:noProof/>
        </w:rPr>
        <w:tab/>
      </w:r>
      <w:r w:rsidR="00585F6C">
        <w:rPr>
          <w:noProof/>
        </w:rPr>
        <w:fldChar w:fldCharType="begin"/>
      </w:r>
      <w:r w:rsidR="00585F6C">
        <w:rPr>
          <w:noProof/>
        </w:rPr>
        <w:instrText xml:space="preserve"> PAGEREF _Toc417920074 \h </w:instrText>
      </w:r>
      <w:r w:rsidR="00585F6C">
        <w:rPr>
          <w:noProof/>
        </w:rPr>
      </w:r>
      <w:r w:rsidR="00585F6C">
        <w:rPr>
          <w:noProof/>
        </w:rPr>
        <w:fldChar w:fldCharType="separate"/>
      </w:r>
      <w:r w:rsidR="00585F6C">
        <w:rPr>
          <w:noProof/>
        </w:rPr>
        <w:t>11</w:t>
      </w:r>
      <w:r w:rsidR="00585F6C">
        <w:rPr>
          <w:noProof/>
        </w:rPr>
        <w:fldChar w:fldCharType="end"/>
      </w:r>
    </w:p>
    <w:p w14:paraId="26B84B35"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2</w:t>
      </w:r>
      <w:r w:rsidRPr="001E1185">
        <w:rPr>
          <w:rFonts w:cs="Arial"/>
          <w:noProof/>
        </w:rPr>
        <w:t xml:space="preserve"> Using the numeracy scale to align the ALL levels to the steps of the learning progressions and the numeracy requirement for NCEA.</w:t>
      </w:r>
      <w:r>
        <w:rPr>
          <w:noProof/>
        </w:rPr>
        <w:tab/>
      </w:r>
      <w:r>
        <w:rPr>
          <w:noProof/>
        </w:rPr>
        <w:fldChar w:fldCharType="begin"/>
      </w:r>
      <w:r>
        <w:rPr>
          <w:noProof/>
        </w:rPr>
        <w:instrText xml:space="preserve"> PAGEREF _Toc417920075 \h </w:instrText>
      </w:r>
      <w:r>
        <w:rPr>
          <w:noProof/>
        </w:rPr>
      </w:r>
      <w:r>
        <w:rPr>
          <w:noProof/>
        </w:rPr>
        <w:fldChar w:fldCharType="separate"/>
      </w:r>
      <w:r>
        <w:rPr>
          <w:noProof/>
        </w:rPr>
        <w:t>18</w:t>
      </w:r>
      <w:r>
        <w:rPr>
          <w:noProof/>
        </w:rPr>
        <w:fldChar w:fldCharType="end"/>
      </w:r>
    </w:p>
    <w:p w14:paraId="0729FB43"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3</w:t>
      </w:r>
      <w:r w:rsidRPr="001E1185">
        <w:rPr>
          <w:rFonts w:cs="Arial"/>
          <w:noProof/>
        </w:rPr>
        <w:t xml:space="preserve"> Using the reading scale to align the ALL levels to the steps of the learning progressions and the literacy requirement for NCEA.</w:t>
      </w:r>
      <w:r>
        <w:rPr>
          <w:noProof/>
        </w:rPr>
        <w:tab/>
      </w:r>
      <w:r>
        <w:rPr>
          <w:noProof/>
        </w:rPr>
        <w:fldChar w:fldCharType="begin"/>
      </w:r>
      <w:r>
        <w:rPr>
          <w:noProof/>
        </w:rPr>
        <w:instrText xml:space="preserve"> PAGEREF _Toc417920076 \h </w:instrText>
      </w:r>
      <w:r>
        <w:rPr>
          <w:noProof/>
        </w:rPr>
      </w:r>
      <w:r>
        <w:rPr>
          <w:noProof/>
        </w:rPr>
        <w:fldChar w:fldCharType="separate"/>
      </w:r>
      <w:r>
        <w:rPr>
          <w:noProof/>
        </w:rPr>
        <w:t>19</w:t>
      </w:r>
      <w:r>
        <w:rPr>
          <w:noProof/>
        </w:rPr>
        <w:fldChar w:fldCharType="end"/>
      </w:r>
    </w:p>
    <w:p w14:paraId="7098E5FF"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4</w:t>
      </w:r>
      <w:r w:rsidRPr="001E1185">
        <w:rPr>
          <w:rFonts w:cs="Arial"/>
          <w:noProof/>
        </w:rPr>
        <w:t xml:space="preserve"> Probability of attaining the numeracy requirement for NCEA conditioned on the numeracy scale score. Probabilities were estimated using logistic regression. Tertiary cohort.</w:t>
      </w:r>
      <w:r>
        <w:rPr>
          <w:noProof/>
        </w:rPr>
        <w:tab/>
      </w:r>
      <w:r>
        <w:rPr>
          <w:noProof/>
        </w:rPr>
        <w:fldChar w:fldCharType="begin"/>
      </w:r>
      <w:r>
        <w:rPr>
          <w:noProof/>
        </w:rPr>
        <w:instrText xml:space="preserve"> PAGEREF _Toc417920077 \h </w:instrText>
      </w:r>
      <w:r>
        <w:rPr>
          <w:noProof/>
        </w:rPr>
      </w:r>
      <w:r>
        <w:rPr>
          <w:noProof/>
        </w:rPr>
        <w:fldChar w:fldCharType="separate"/>
      </w:r>
      <w:r>
        <w:rPr>
          <w:noProof/>
        </w:rPr>
        <w:t>23</w:t>
      </w:r>
      <w:r>
        <w:rPr>
          <w:noProof/>
        </w:rPr>
        <w:fldChar w:fldCharType="end"/>
      </w:r>
    </w:p>
    <w:p w14:paraId="34BC4B5E"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5</w:t>
      </w:r>
      <w:r w:rsidRPr="001E1185">
        <w:rPr>
          <w:rFonts w:cs="Arial"/>
          <w:noProof/>
        </w:rPr>
        <w:t xml:space="preserve">  Probability of attaining the literacy requirement for NCEA conditioned on the reading scale score. Probabilities were estimated using logistic regression. Tertiary cohort.</w:t>
      </w:r>
      <w:r>
        <w:rPr>
          <w:noProof/>
        </w:rPr>
        <w:tab/>
      </w:r>
      <w:r>
        <w:rPr>
          <w:noProof/>
        </w:rPr>
        <w:fldChar w:fldCharType="begin"/>
      </w:r>
      <w:r>
        <w:rPr>
          <w:noProof/>
        </w:rPr>
        <w:instrText xml:space="preserve"> PAGEREF _Toc417920078 \h </w:instrText>
      </w:r>
      <w:r>
        <w:rPr>
          <w:noProof/>
        </w:rPr>
      </w:r>
      <w:r>
        <w:rPr>
          <w:noProof/>
        </w:rPr>
        <w:fldChar w:fldCharType="separate"/>
      </w:r>
      <w:r>
        <w:rPr>
          <w:noProof/>
        </w:rPr>
        <w:t>24</w:t>
      </w:r>
      <w:r>
        <w:rPr>
          <w:noProof/>
        </w:rPr>
        <w:fldChar w:fldCharType="end"/>
      </w:r>
    </w:p>
    <w:p w14:paraId="36A425FF"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6</w:t>
      </w:r>
      <w:r w:rsidRPr="001E1185">
        <w:rPr>
          <w:rFonts w:cs="Arial"/>
          <w:noProof/>
        </w:rPr>
        <w:t xml:space="preserve"> Logistic regression functions depicting the probability of the tertiary cohort attaining NCEA Levels 1, 2 and 3 conditioned on performance on the numeracy scale.</w:t>
      </w:r>
      <w:r>
        <w:rPr>
          <w:noProof/>
        </w:rPr>
        <w:tab/>
      </w:r>
      <w:r>
        <w:rPr>
          <w:noProof/>
        </w:rPr>
        <w:fldChar w:fldCharType="begin"/>
      </w:r>
      <w:r>
        <w:rPr>
          <w:noProof/>
        </w:rPr>
        <w:instrText xml:space="preserve"> PAGEREF _Toc417920079 \h </w:instrText>
      </w:r>
      <w:r>
        <w:rPr>
          <w:noProof/>
        </w:rPr>
      </w:r>
      <w:r>
        <w:rPr>
          <w:noProof/>
        </w:rPr>
        <w:fldChar w:fldCharType="separate"/>
      </w:r>
      <w:r>
        <w:rPr>
          <w:noProof/>
        </w:rPr>
        <w:t>28</w:t>
      </w:r>
      <w:r>
        <w:rPr>
          <w:noProof/>
        </w:rPr>
        <w:fldChar w:fldCharType="end"/>
      </w:r>
    </w:p>
    <w:p w14:paraId="5252811A"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7</w:t>
      </w:r>
      <w:r w:rsidRPr="001E1185">
        <w:rPr>
          <w:rFonts w:cs="Arial"/>
          <w:noProof/>
        </w:rPr>
        <w:t xml:space="preserve"> Logistic regression functions depicting the probability of the tertiary cohort attaining NCEA Levels 1, 2 and 3 conditioned on performance on the reading scale.</w:t>
      </w:r>
      <w:r>
        <w:rPr>
          <w:noProof/>
        </w:rPr>
        <w:tab/>
      </w:r>
      <w:r>
        <w:rPr>
          <w:noProof/>
        </w:rPr>
        <w:fldChar w:fldCharType="begin"/>
      </w:r>
      <w:r>
        <w:rPr>
          <w:noProof/>
        </w:rPr>
        <w:instrText xml:space="preserve"> PAGEREF _Toc417920080 \h </w:instrText>
      </w:r>
      <w:r>
        <w:rPr>
          <w:noProof/>
        </w:rPr>
      </w:r>
      <w:r>
        <w:rPr>
          <w:noProof/>
        </w:rPr>
        <w:fldChar w:fldCharType="separate"/>
      </w:r>
      <w:r>
        <w:rPr>
          <w:noProof/>
        </w:rPr>
        <w:t>30</w:t>
      </w:r>
      <w:r>
        <w:rPr>
          <w:noProof/>
        </w:rPr>
        <w:fldChar w:fldCharType="end"/>
      </w:r>
    </w:p>
    <w:p w14:paraId="422F97A4"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8</w:t>
      </w:r>
      <w:r w:rsidRPr="001E1185">
        <w:rPr>
          <w:rFonts w:cs="Arial"/>
          <w:noProof/>
        </w:rPr>
        <w:t xml:space="preserve"> Probability of being rated </w:t>
      </w:r>
      <w:r w:rsidRPr="001E1185">
        <w:rPr>
          <w:rFonts w:cs="Arial"/>
          <w:i/>
          <w:noProof/>
        </w:rPr>
        <w:t>at</w:t>
      </w:r>
      <w:r w:rsidRPr="001E1185">
        <w:rPr>
          <w:rFonts w:cs="Arial"/>
          <w:noProof/>
        </w:rPr>
        <w:t xml:space="preserve"> or </w:t>
      </w:r>
      <w:r w:rsidRPr="001E1185">
        <w:rPr>
          <w:rFonts w:cs="Arial"/>
          <w:i/>
          <w:noProof/>
        </w:rPr>
        <w:t>above</w:t>
      </w:r>
      <w:r w:rsidRPr="001E1185">
        <w:rPr>
          <w:rFonts w:cs="Arial"/>
          <w:noProof/>
        </w:rPr>
        <w:t xml:space="preserve"> the End of Year 8 Mathematics Standard conditioned on the numeracy scale score. Probabilities were estimated using logistic regression. School sample.</w:t>
      </w:r>
      <w:r>
        <w:rPr>
          <w:noProof/>
        </w:rPr>
        <w:tab/>
      </w:r>
      <w:r>
        <w:rPr>
          <w:noProof/>
        </w:rPr>
        <w:fldChar w:fldCharType="begin"/>
      </w:r>
      <w:r>
        <w:rPr>
          <w:noProof/>
        </w:rPr>
        <w:instrText xml:space="preserve"> PAGEREF _Toc417920081 \h </w:instrText>
      </w:r>
      <w:r>
        <w:rPr>
          <w:noProof/>
        </w:rPr>
      </w:r>
      <w:r>
        <w:rPr>
          <w:noProof/>
        </w:rPr>
        <w:fldChar w:fldCharType="separate"/>
      </w:r>
      <w:r>
        <w:rPr>
          <w:noProof/>
        </w:rPr>
        <w:t>32</w:t>
      </w:r>
      <w:r>
        <w:rPr>
          <w:noProof/>
        </w:rPr>
        <w:fldChar w:fldCharType="end"/>
      </w:r>
    </w:p>
    <w:p w14:paraId="36D93636"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9</w:t>
      </w:r>
      <w:r w:rsidRPr="001E1185">
        <w:rPr>
          <w:rFonts w:cs="Arial"/>
          <w:noProof/>
        </w:rPr>
        <w:t xml:space="preserve">  Probability of being rated </w:t>
      </w:r>
      <w:r w:rsidRPr="001E1185">
        <w:rPr>
          <w:rFonts w:cs="Arial"/>
          <w:i/>
          <w:noProof/>
        </w:rPr>
        <w:t>at</w:t>
      </w:r>
      <w:r w:rsidRPr="001E1185">
        <w:rPr>
          <w:rFonts w:cs="Arial"/>
          <w:noProof/>
        </w:rPr>
        <w:t xml:space="preserve"> or </w:t>
      </w:r>
      <w:r w:rsidRPr="001E1185">
        <w:rPr>
          <w:rFonts w:cs="Arial"/>
          <w:i/>
          <w:noProof/>
        </w:rPr>
        <w:t>above</w:t>
      </w:r>
      <w:r w:rsidRPr="001E1185">
        <w:rPr>
          <w:rFonts w:cs="Arial"/>
          <w:noProof/>
        </w:rPr>
        <w:t xml:space="preserve"> the End of Year 8 Reading Standard conditioned on the reading scale score. Probabilities were estimated using logistic regression. School sample.</w:t>
      </w:r>
      <w:r>
        <w:rPr>
          <w:noProof/>
        </w:rPr>
        <w:tab/>
      </w:r>
      <w:r>
        <w:rPr>
          <w:noProof/>
        </w:rPr>
        <w:fldChar w:fldCharType="begin"/>
      </w:r>
      <w:r>
        <w:rPr>
          <w:noProof/>
        </w:rPr>
        <w:instrText xml:space="preserve"> PAGEREF _Toc417920082 \h </w:instrText>
      </w:r>
      <w:r>
        <w:rPr>
          <w:noProof/>
        </w:rPr>
      </w:r>
      <w:r>
        <w:rPr>
          <w:noProof/>
        </w:rPr>
        <w:fldChar w:fldCharType="separate"/>
      </w:r>
      <w:r>
        <w:rPr>
          <w:noProof/>
        </w:rPr>
        <w:t>33</w:t>
      </w:r>
      <w:r>
        <w:rPr>
          <w:noProof/>
        </w:rPr>
        <w:fldChar w:fldCharType="end"/>
      </w:r>
    </w:p>
    <w:p w14:paraId="460181F8"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10</w:t>
      </w:r>
      <w:r w:rsidRPr="001E1185">
        <w:rPr>
          <w:rFonts w:cs="Arial"/>
          <w:noProof/>
        </w:rPr>
        <w:t xml:space="preserve"> Distributions of Year 8 students, Year 11 students with NCEA Level 1, Year 12 students with NCEA Level 2, tertiary students with the NCEA literacy requirement and tertiary students without the NCEA literacy requirement on the reading scale.</w:t>
      </w:r>
      <w:r>
        <w:rPr>
          <w:noProof/>
        </w:rPr>
        <w:tab/>
      </w:r>
      <w:r>
        <w:rPr>
          <w:noProof/>
        </w:rPr>
        <w:fldChar w:fldCharType="begin"/>
      </w:r>
      <w:r>
        <w:rPr>
          <w:noProof/>
        </w:rPr>
        <w:instrText xml:space="preserve"> PAGEREF _Toc417920083 \h </w:instrText>
      </w:r>
      <w:r>
        <w:rPr>
          <w:noProof/>
        </w:rPr>
      </w:r>
      <w:r>
        <w:rPr>
          <w:noProof/>
        </w:rPr>
        <w:fldChar w:fldCharType="separate"/>
      </w:r>
      <w:r>
        <w:rPr>
          <w:noProof/>
        </w:rPr>
        <w:t>36</w:t>
      </w:r>
      <w:r>
        <w:rPr>
          <w:noProof/>
        </w:rPr>
        <w:fldChar w:fldCharType="end"/>
      </w:r>
    </w:p>
    <w:p w14:paraId="42E3E474" w14:textId="77777777" w:rsidR="00585F6C" w:rsidRDefault="00585F6C">
      <w:pPr>
        <w:pStyle w:val="TableofFigures"/>
        <w:tabs>
          <w:tab w:val="right" w:leader="dot" w:pos="8398"/>
        </w:tabs>
        <w:rPr>
          <w:rFonts w:asciiTheme="minorHAnsi" w:hAnsiTheme="minorHAnsi"/>
          <w:bCs w:val="0"/>
          <w:noProof/>
          <w:szCs w:val="22"/>
          <w:lang w:val="en-NZ" w:eastAsia="en-NZ"/>
        </w:rPr>
      </w:pPr>
      <w:r w:rsidRPr="001E1185">
        <w:rPr>
          <w:rFonts w:cs="Arial"/>
          <w:b/>
          <w:noProof/>
        </w:rPr>
        <w:t>Figure 11</w:t>
      </w:r>
      <w:r w:rsidRPr="001E1185">
        <w:rPr>
          <w:rFonts w:cs="Arial"/>
          <w:noProof/>
        </w:rPr>
        <w:t xml:space="preserve"> Distributions of Year 8 students, Year 11 students with NCEA Level 1, Year 12 students with NCEA Level 2, tertiary students with the NCEA numeracy requirement and tertiary students without the NCEA numeracy requirement on the numeracy scale.</w:t>
      </w:r>
      <w:r>
        <w:rPr>
          <w:noProof/>
        </w:rPr>
        <w:tab/>
      </w:r>
      <w:r>
        <w:rPr>
          <w:noProof/>
        </w:rPr>
        <w:fldChar w:fldCharType="begin"/>
      </w:r>
      <w:r>
        <w:rPr>
          <w:noProof/>
        </w:rPr>
        <w:instrText xml:space="preserve"> PAGEREF _Toc417920084 \h </w:instrText>
      </w:r>
      <w:r>
        <w:rPr>
          <w:noProof/>
        </w:rPr>
      </w:r>
      <w:r>
        <w:rPr>
          <w:noProof/>
        </w:rPr>
        <w:fldChar w:fldCharType="separate"/>
      </w:r>
      <w:r>
        <w:rPr>
          <w:noProof/>
        </w:rPr>
        <w:t>36</w:t>
      </w:r>
      <w:r>
        <w:rPr>
          <w:noProof/>
        </w:rPr>
        <w:fldChar w:fldCharType="end"/>
      </w:r>
    </w:p>
    <w:p w14:paraId="462E7756" w14:textId="51DF766C" w:rsidR="00DC7E07" w:rsidRPr="00277BEC" w:rsidRDefault="00277BEC" w:rsidP="001076D0">
      <w:pPr>
        <w:tabs>
          <w:tab w:val="right" w:leader="dot" w:pos="8789"/>
        </w:tabs>
        <w:spacing w:after="0" w:line="240" w:lineRule="auto"/>
        <w:jc w:val="left"/>
        <w:rPr>
          <w:rFonts w:ascii="Arial" w:hAnsi="Arial" w:cs="Arial"/>
        </w:rPr>
      </w:pPr>
      <w:r>
        <w:rPr>
          <w:rFonts w:ascii="Arial" w:hAnsi="Arial" w:cs="Arial"/>
        </w:rPr>
        <w:fldChar w:fldCharType="end"/>
      </w:r>
    </w:p>
    <w:p w14:paraId="7FA4F4C8" w14:textId="77777777" w:rsidR="00DC7E07" w:rsidRPr="00277BEC" w:rsidRDefault="00DC7E07">
      <w:pPr>
        <w:spacing w:after="0" w:line="240" w:lineRule="auto"/>
        <w:rPr>
          <w:rFonts w:ascii="Arial" w:hAnsi="Arial" w:cs="Arial"/>
        </w:rPr>
      </w:pPr>
    </w:p>
    <w:p w14:paraId="764F94FD" w14:textId="77777777" w:rsidR="0004010E" w:rsidRPr="00277BEC" w:rsidRDefault="0004010E">
      <w:pPr>
        <w:spacing w:after="0" w:line="240" w:lineRule="auto"/>
        <w:rPr>
          <w:rFonts w:ascii="Arial" w:hAnsi="Arial" w:cs="Arial"/>
        </w:rPr>
      </w:pPr>
      <w:r w:rsidRPr="00277BEC">
        <w:rPr>
          <w:rFonts w:ascii="Arial" w:hAnsi="Arial" w:cs="Arial"/>
        </w:rPr>
        <w:br w:type="page"/>
      </w:r>
    </w:p>
    <w:p w14:paraId="6613A352" w14:textId="77777777" w:rsidR="00474A11" w:rsidRPr="00277BEC" w:rsidRDefault="00474A11" w:rsidP="001B44DE">
      <w:pPr>
        <w:pStyle w:val="Heading1"/>
        <w:rPr>
          <w:rFonts w:cs="Arial"/>
        </w:rPr>
      </w:pPr>
      <w:bookmarkStart w:id="6" w:name="_Toc262207810"/>
      <w:bookmarkStart w:id="7" w:name="_Toc262207904"/>
      <w:bookmarkStart w:id="8" w:name="_Toc264282830"/>
      <w:bookmarkStart w:id="9" w:name="_Toc417920172"/>
      <w:r w:rsidRPr="00277BEC">
        <w:rPr>
          <w:rFonts w:cs="Arial"/>
        </w:rPr>
        <w:lastRenderedPageBreak/>
        <w:t>Executive Summary</w:t>
      </w:r>
      <w:bookmarkEnd w:id="6"/>
      <w:bookmarkEnd w:id="7"/>
      <w:bookmarkEnd w:id="8"/>
      <w:bookmarkEnd w:id="9"/>
    </w:p>
    <w:p w14:paraId="1A6D72E8" w14:textId="14549B0B" w:rsidR="001B44DE" w:rsidRPr="00277BEC" w:rsidRDefault="00123C67" w:rsidP="00277BEC">
      <w:pPr>
        <w:jc w:val="left"/>
        <w:rPr>
          <w:rFonts w:ascii="Arial" w:hAnsi="Arial" w:cs="Arial"/>
        </w:rPr>
      </w:pPr>
      <w:r w:rsidRPr="00277BEC">
        <w:rPr>
          <w:rFonts w:ascii="Arial" w:hAnsi="Arial" w:cs="Arial"/>
        </w:rPr>
        <w:t>T</w:t>
      </w:r>
      <w:r w:rsidR="009B32D2" w:rsidRPr="00277BEC">
        <w:rPr>
          <w:rFonts w:ascii="Arial" w:hAnsi="Arial" w:cs="Arial"/>
        </w:rPr>
        <w:t>his report</w:t>
      </w:r>
      <w:r w:rsidRPr="00277BEC">
        <w:rPr>
          <w:rFonts w:ascii="Arial" w:hAnsi="Arial" w:cs="Arial"/>
        </w:rPr>
        <w:t xml:space="preserve"> presents analysis of </w:t>
      </w:r>
      <w:r w:rsidR="009B32D2" w:rsidRPr="00277BEC">
        <w:rPr>
          <w:rFonts w:ascii="Arial" w:hAnsi="Arial" w:cs="Arial"/>
        </w:rPr>
        <w:t xml:space="preserve">the empirical relationship between </w:t>
      </w:r>
      <w:r w:rsidR="00B27938" w:rsidRPr="00277BEC">
        <w:rPr>
          <w:rFonts w:ascii="Arial" w:hAnsi="Arial" w:cs="Arial"/>
        </w:rPr>
        <w:t xml:space="preserve">four </w:t>
      </w:r>
      <w:r w:rsidR="009B32D2" w:rsidRPr="00277BEC">
        <w:rPr>
          <w:rFonts w:ascii="Arial" w:hAnsi="Arial" w:cs="Arial"/>
        </w:rPr>
        <w:t xml:space="preserve">measures of literacy and numeracy in </w:t>
      </w:r>
      <w:r w:rsidR="008F3A54" w:rsidRPr="00277BEC">
        <w:rPr>
          <w:rFonts w:ascii="Arial" w:hAnsi="Arial" w:cs="Arial"/>
        </w:rPr>
        <w:t>use in New Zealand</w:t>
      </w:r>
      <w:r w:rsidR="009B32D2" w:rsidRPr="00277BEC">
        <w:rPr>
          <w:rFonts w:ascii="Arial" w:hAnsi="Arial" w:cs="Arial"/>
        </w:rPr>
        <w:t xml:space="preserve">. </w:t>
      </w:r>
      <w:r w:rsidR="00B27938" w:rsidRPr="00277BEC">
        <w:rPr>
          <w:rFonts w:ascii="Arial" w:hAnsi="Arial" w:cs="Arial"/>
        </w:rPr>
        <w:t>The first of these are the proficiency levels used in the Adult Literac</w:t>
      </w:r>
      <w:r w:rsidR="00277BEC">
        <w:rPr>
          <w:rFonts w:ascii="Arial" w:hAnsi="Arial" w:cs="Arial"/>
        </w:rPr>
        <w:t>y and Life Skills (ALL) survey.</w:t>
      </w:r>
      <w:r w:rsidR="00B27938" w:rsidRPr="00277BEC">
        <w:rPr>
          <w:rFonts w:ascii="Arial" w:hAnsi="Arial" w:cs="Arial"/>
        </w:rPr>
        <w:t xml:space="preserve"> The second measure is the Learning Progressions for Adult Literacy and Numeracy </w:t>
      </w:r>
      <w:r w:rsidR="000F436D" w:rsidRPr="00277BEC">
        <w:rPr>
          <w:rFonts w:ascii="Arial" w:hAnsi="Arial" w:cs="Arial"/>
        </w:rPr>
        <w:t xml:space="preserve">(learning progressions) </w:t>
      </w:r>
      <w:r w:rsidR="00B27938" w:rsidRPr="00277BEC">
        <w:rPr>
          <w:rFonts w:ascii="Arial" w:hAnsi="Arial" w:cs="Arial"/>
        </w:rPr>
        <w:t xml:space="preserve">as measured by </w:t>
      </w:r>
      <w:r w:rsidR="00787AD6" w:rsidRPr="00277BEC">
        <w:rPr>
          <w:rFonts w:ascii="Arial" w:hAnsi="Arial" w:cs="Arial"/>
        </w:rPr>
        <w:t xml:space="preserve">the </w:t>
      </w:r>
      <w:r w:rsidR="00BF76B0" w:rsidRPr="00277BEC">
        <w:rPr>
          <w:rFonts w:ascii="Arial" w:hAnsi="Arial" w:cs="Arial"/>
        </w:rPr>
        <w:t xml:space="preserve">Literacy and Numeracy for Adults </w:t>
      </w:r>
      <w:r w:rsidR="00787AD6" w:rsidRPr="00277BEC">
        <w:rPr>
          <w:rFonts w:ascii="Arial" w:hAnsi="Arial" w:cs="Arial"/>
        </w:rPr>
        <w:t>Assessment Tool</w:t>
      </w:r>
      <w:r w:rsidR="0024720B" w:rsidRPr="00277BEC">
        <w:rPr>
          <w:rFonts w:ascii="Arial" w:hAnsi="Arial" w:cs="Arial"/>
        </w:rPr>
        <w:t xml:space="preserve"> (Assessment Tool)</w:t>
      </w:r>
      <w:r w:rsidR="00B27938" w:rsidRPr="00277BEC">
        <w:rPr>
          <w:rFonts w:ascii="Arial" w:hAnsi="Arial" w:cs="Arial"/>
        </w:rPr>
        <w:t>. The Assessment Tool</w:t>
      </w:r>
      <w:r w:rsidR="009B32D2" w:rsidRPr="00277BEC">
        <w:rPr>
          <w:rFonts w:ascii="Arial" w:hAnsi="Arial" w:cs="Arial"/>
        </w:rPr>
        <w:t xml:space="preserve"> is </w:t>
      </w:r>
      <w:r w:rsidRPr="00277BEC">
        <w:rPr>
          <w:rFonts w:ascii="Arial" w:hAnsi="Arial" w:cs="Arial"/>
        </w:rPr>
        <w:t>primarily used in the tertiary sector</w:t>
      </w:r>
      <w:r w:rsidR="00B27938" w:rsidRPr="00277BEC">
        <w:rPr>
          <w:rFonts w:ascii="Arial" w:hAnsi="Arial" w:cs="Arial"/>
        </w:rPr>
        <w:t xml:space="preserve"> and is </w:t>
      </w:r>
      <w:r w:rsidRPr="00277BEC">
        <w:rPr>
          <w:rFonts w:ascii="Arial" w:hAnsi="Arial" w:cs="Arial"/>
        </w:rPr>
        <w:t>underpinned by</w:t>
      </w:r>
      <w:r w:rsidR="009B32D2" w:rsidRPr="00277BEC">
        <w:rPr>
          <w:rFonts w:ascii="Arial" w:hAnsi="Arial" w:cs="Arial"/>
        </w:rPr>
        <w:t xml:space="preserve"> a measurement scale </w:t>
      </w:r>
      <w:r w:rsidR="000F436D" w:rsidRPr="00277BEC">
        <w:rPr>
          <w:rFonts w:ascii="Arial" w:hAnsi="Arial" w:cs="Arial"/>
        </w:rPr>
        <w:t xml:space="preserve">that is related to the steps of the learning progressions. The Assessment Tool scale </w:t>
      </w:r>
      <w:r w:rsidRPr="00277BEC">
        <w:rPr>
          <w:rFonts w:ascii="Arial" w:hAnsi="Arial" w:cs="Arial"/>
        </w:rPr>
        <w:t>served</w:t>
      </w:r>
      <w:r w:rsidR="009B32D2" w:rsidRPr="00277BEC">
        <w:rPr>
          <w:rFonts w:ascii="Arial" w:hAnsi="Arial" w:cs="Arial"/>
        </w:rPr>
        <w:t xml:space="preserve"> as a lynchpin </w:t>
      </w:r>
      <w:r w:rsidRPr="00277BEC">
        <w:rPr>
          <w:rFonts w:ascii="Arial" w:hAnsi="Arial" w:cs="Arial"/>
        </w:rPr>
        <w:t>for aligning the other two</w:t>
      </w:r>
      <w:r w:rsidR="00B27938" w:rsidRPr="00277BEC">
        <w:rPr>
          <w:rFonts w:ascii="Arial" w:hAnsi="Arial" w:cs="Arial"/>
        </w:rPr>
        <w:t xml:space="preserve"> measures</w:t>
      </w:r>
      <w:r w:rsidRPr="00277BEC">
        <w:rPr>
          <w:rFonts w:ascii="Arial" w:hAnsi="Arial" w:cs="Arial"/>
        </w:rPr>
        <w:t xml:space="preserve">: </w:t>
      </w:r>
      <w:r w:rsidR="00B27938" w:rsidRPr="00277BEC">
        <w:rPr>
          <w:rFonts w:ascii="Arial" w:hAnsi="Arial" w:cs="Arial"/>
        </w:rPr>
        <w:t>the literacy and numeracy requirements for the National Certificate in Educational Achievement (NCEA)</w:t>
      </w:r>
      <w:r w:rsidR="00D47C0C" w:rsidRPr="00277BEC">
        <w:rPr>
          <w:rFonts w:ascii="Arial" w:hAnsi="Arial" w:cs="Arial"/>
        </w:rPr>
        <w:t xml:space="preserve">; and </w:t>
      </w:r>
      <w:r w:rsidR="00866539" w:rsidRPr="00277BEC">
        <w:rPr>
          <w:rFonts w:ascii="Arial" w:eastAsia="Times" w:hAnsi="Arial" w:cs="Arial"/>
          <w:bCs w:val="0"/>
          <w:szCs w:val="20"/>
        </w:rPr>
        <w:t xml:space="preserve">the New Zealand Curriculum National Standards (National Standards) at </w:t>
      </w:r>
      <w:r w:rsidR="00E817CD">
        <w:rPr>
          <w:rFonts w:ascii="Arial" w:eastAsia="Times" w:hAnsi="Arial" w:cs="Arial"/>
          <w:bCs w:val="0"/>
          <w:szCs w:val="20"/>
        </w:rPr>
        <w:t>Y</w:t>
      </w:r>
      <w:r w:rsidR="00866539" w:rsidRPr="00277BEC">
        <w:rPr>
          <w:rFonts w:ascii="Arial" w:eastAsia="Times" w:hAnsi="Arial" w:cs="Arial"/>
          <w:bCs w:val="0"/>
          <w:szCs w:val="20"/>
        </w:rPr>
        <w:t>ear 8 for reading and mathematics</w:t>
      </w:r>
      <w:r w:rsidR="00D47C0C" w:rsidRPr="00277BEC">
        <w:rPr>
          <w:rFonts w:ascii="Arial" w:eastAsia="Times" w:hAnsi="Arial" w:cs="Arial"/>
          <w:bCs w:val="0"/>
          <w:szCs w:val="20"/>
        </w:rPr>
        <w:t>.</w:t>
      </w:r>
      <w:r w:rsidR="00D47C0C" w:rsidRPr="00277BEC">
        <w:rPr>
          <w:rFonts w:ascii="Arial" w:hAnsi="Arial" w:cs="Arial"/>
        </w:rPr>
        <w:t xml:space="preserve"> </w:t>
      </w:r>
      <w:r w:rsidR="00BF76B0" w:rsidRPr="00277BEC">
        <w:rPr>
          <w:rFonts w:ascii="Arial" w:hAnsi="Arial" w:cs="Arial"/>
        </w:rPr>
        <w:t>Results from the Assessment T</w:t>
      </w:r>
      <w:r w:rsidRPr="00277BEC">
        <w:rPr>
          <w:rFonts w:ascii="Arial" w:hAnsi="Arial" w:cs="Arial"/>
        </w:rPr>
        <w:t xml:space="preserve">ool were also used to investigate the distributions of reading and numeracy </w:t>
      </w:r>
      <w:r w:rsidR="006E4E57" w:rsidRPr="00277BEC">
        <w:rPr>
          <w:rFonts w:ascii="Arial" w:hAnsi="Arial" w:cs="Arial"/>
        </w:rPr>
        <w:t>competencies</w:t>
      </w:r>
      <w:r w:rsidRPr="00277BEC">
        <w:rPr>
          <w:rFonts w:ascii="Arial" w:hAnsi="Arial" w:cs="Arial"/>
        </w:rPr>
        <w:t xml:space="preserve"> for students attaining NCEA Levels 1 and 2.</w:t>
      </w:r>
    </w:p>
    <w:p w14:paraId="73DDFA41" w14:textId="7C9EB237" w:rsidR="00123C67" w:rsidRPr="00277BEC" w:rsidRDefault="00123C67" w:rsidP="00277BEC">
      <w:pPr>
        <w:jc w:val="left"/>
        <w:rPr>
          <w:rFonts w:ascii="Arial" w:hAnsi="Arial" w:cs="Arial"/>
        </w:rPr>
      </w:pPr>
      <w:r w:rsidRPr="00277BEC">
        <w:rPr>
          <w:rFonts w:ascii="Arial" w:hAnsi="Arial" w:cs="Arial"/>
        </w:rPr>
        <w:t>The analysis in the report dr</w:t>
      </w:r>
      <w:r w:rsidR="002D1979" w:rsidRPr="00277BEC">
        <w:rPr>
          <w:rFonts w:ascii="Arial" w:hAnsi="Arial" w:cs="Arial"/>
        </w:rPr>
        <w:t>ew</w:t>
      </w:r>
      <w:r w:rsidRPr="00277BEC">
        <w:rPr>
          <w:rFonts w:ascii="Arial" w:hAnsi="Arial" w:cs="Arial"/>
        </w:rPr>
        <w:t xml:space="preserve"> upon two main </w:t>
      </w:r>
      <w:r w:rsidR="00D47C0C" w:rsidRPr="00277BEC">
        <w:rPr>
          <w:rFonts w:ascii="Arial" w:hAnsi="Arial" w:cs="Arial"/>
        </w:rPr>
        <w:t xml:space="preserve">sources </w:t>
      </w:r>
      <w:r w:rsidRPr="00277BEC">
        <w:rPr>
          <w:rFonts w:ascii="Arial" w:hAnsi="Arial" w:cs="Arial"/>
        </w:rPr>
        <w:t xml:space="preserve">of data; </w:t>
      </w:r>
      <w:r w:rsidR="006E4E57" w:rsidRPr="00277BEC">
        <w:rPr>
          <w:rFonts w:ascii="Arial" w:hAnsi="Arial" w:cs="Arial"/>
        </w:rPr>
        <w:t xml:space="preserve">the tertiary </w:t>
      </w:r>
      <w:r w:rsidR="00D47C0C" w:rsidRPr="00277BEC">
        <w:rPr>
          <w:rFonts w:ascii="Arial" w:hAnsi="Arial" w:cs="Arial"/>
        </w:rPr>
        <w:t xml:space="preserve">cohort </w:t>
      </w:r>
      <w:r w:rsidR="00BF76B0" w:rsidRPr="00277BEC">
        <w:rPr>
          <w:rFonts w:ascii="Arial" w:hAnsi="Arial" w:cs="Arial"/>
        </w:rPr>
        <w:t>of approximately 36,000</w:t>
      </w:r>
      <w:r w:rsidRPr="00277BEC">
        <w:rPr>
          <w:rFonts w:ascii="Arial" w:hAnsi="Arial" w:cs="Arial"/>
        </w:rPr>
        <w:t xml:space="preserve"> students aged 16-20 years </w:t>
      </w:r>
      <w:r w:rsidR="006E4E57" w:rsidRPr="00277BEC">
        <w:rPr>
          <w:rFonts w:ascii="Arial" w:hAnsi="Arial" w:cs="Arial"/>
        </w:rPr>
        <w:t xml:space="preserve">and the school sample of approximately 1,000 students at </w:t>
      </w:r>
      <w:r w:rsidR="00E817CD">
        <w:rPr>
          <w:rFonts w:ascii="Arial" w:hAnsi="Arial" w:cs="Arial"/>
        </w:rPr>
        <w:t>Y</w:t>
      </w:r>
      <w:r w:rsidR="006E4E57" w:rsidRPr="00277BEC">
        <w:rPr>
          <w:rFonts w:ascii="Arial" w:hAnsi="Arial" w:cs="Arial"/>
        </w:rPr>
        <w:t>ear 8</w:t>
      </w:r>
      <w:r w:rsidR="002E0631" w:rsidRPr="00277BEC">
        <w:rPr>
          <w:rFonts w:ascii="Arial" w:hAnsi="Arial" w:cs="Arial"/>
        </w:rPr>
        <w:t xml:space="preserve"> and 800 students from each of </w:t>
      </w:r>
      <w:r w:rsidR="00E817CD">
        <w:rPr>
          <w:rFonts w:ascii="Arial" w:hAnsi="Arial" w:cs="Arial"/>
        </w:rPr>
        <w:t>Y</w:t>
      </w:r>
      <w:r w:rsidR="002E0631" w:rsidRPr="00277BEC">
        <w:rPr>
          <w:rFonts w:ascii="Arial" w:hAnsi="Arial" w:cs="Arial"/>
        </w:rPr>
        <w:t xml:space="preserve">ears </w:t>
      </w:r>
      <w:r w:rsidR="006E4E57" w:rsidRPr="00277BEC">
        <w:rPr>
          <w:rFonts w:ascii="Arial" w:hAnsi="Arial" w:cs="Arial"/>
        </w:rPr>
        <w:t xml:space="preserve">11 and 12. The tertiary </w:t>
      </w:r>
      <w:r w:rsidR="00D47C0C" w:rsidRPr="00277BEC">
        <w:rPr>
          <w:rFonts w:ascii="Arial" w:hAnsi="Arial" w:cs="Arial"/>
        </w:rPr>
        <w:t xml:space="preserve">cohort is a subset of all students </w:t>
      </w:r>
      <w:r w:rsidR="008234DB" w:rsidRPr="00277BEC">
        <w:rPr>
          <w:rFonts w:ascii="Arial" w:hAnsi="Arial" w:cs="Arial"/>
        </w:rPr>
        <w:t>completing qualifications at L</w:t>
      </w:r>
      <w:r w:rsidR="006E4E57" w:rsidRPr="00277BEC">
        <w:rPr>
          <w:rFonts w:ascii="Arial" w:hAnsi="Arial" w:cs="Arial"/>
        </w:rPr>
        <w:t xml:space="preserve">evels 1 to 3 of the New Zealand Qualifications Framework who were assessed </w:t>
      </w:r>
      <w:r w:rsidRPr="00277BEC">
        <w:rPr>
          <w:rFonts w:ascii="Arial" w:hAnsi="Arial" w:cs="Arial"/>
        </w:rPr>
        <w:t>u</w:t>
      </w:r>
      <w:r w:rsidR="006E4E57" w:rsidRPr="00277BEC">
        <w:rPr>
          <w:rFonts w:ascii="Arial" w:hAnsi="Arial" w:cs="Arial"/>
        </w:rPr>
        <w:t>sing the Assessment Tool in 2012, so excludes university students</w:t>
      </w:r>
      <w:r w:rsidR="00E817CD">
        <w:rPr>
          <w:rFonts w:ascii="Arial" w:hAnsi="Arial" w:cs="Arial"/>
        </w:rPr>
        <w:t>,</w:t>
      </w:r>
      <w:r w:rsidR="00D47C0C" w:rsidRPr="00277BEC">
        <w:rPr>
          <w:rFonts w:ascii="Arial" w:hAnsi="Arial" w:cs="Arial"/>
        </w:rPr>
        <w:t xml:space="preserve"> and anyone aged 21 and older</w:t>
      </w:r>
      <w:r w:rsidR="006E4E57" w:rsidRPr="00277BEC">
        <w:rPr>
          <w:rFonts w:ascii="Arial" w:hAnsi="Arial" w:cs="Arial"/>
        </w:rPr>
        <w:t>. The school</w:t>
      </w:r>
      <w:r w:rsidRPr="00277BEC">
        <w:rPr>
          <w:rFonts w:ascii="Arial" w:hAnsi="Arial" w:cs="Arial"/>
        </w:rPr>
        <w:t xml:space="preserve"> sample was constituted to be as representative of the population as possible, and </w:t>
      </w:r>
      <w:r w:rsidR="00B90372" w:rsidRPr="00277BEC">
        <w:rPr>
          <w:rFonts w:ascii="Arial" w:hAnsi="Arial" w:cs="Arial"/>
        </w:rPr>
        <w:t xml:space="preserve">the participating schools </w:t>
      </w:r>
      <w:r w:rsidRPr="00277BEC">
        <w:rPr>
          <w:rFonts w:ascii="Arial" w:hAnsi="Arial" w:cs="Arial"/>
        </w:rPr>
        <w:t>completed</w:t>
      </w:r>
      <w:r w:rsidR="002D1979" w:rsidRPr="00277BEC">
        <w:rPr>
          <w:rFonts w:ascii="Arial" w:hAnsi="Arial" w:cs="Arial"/>
        </w:rPr>
        <w:t xml:space="preserve"> assessments using the </w:t>
      </w:r>
      <w:r w:rsidR="00E6136B" w:rsidRPr="00277BEC">
        <w:rPr>
          <w:rFonts w:ascii="Arial" w:hAnsi="Arial" w:cs="Arial"/>
        </w:rPr>
        <w:t>Assessment Tool</w:t>
      </w:r>
      <w:r w:rsidRPr="00277BEC">
        <w:rPr>
          <w:rFonts w:ascii="Arial" w:hAnsi="Arial" w:cs="Arial"/>
        </w:rPr>
        <w:t xml:space="preserve"> </w:t>
      </w:r>
      <w:r w:rsidR="00B1087E" w:rsidRPr="00277BEC">
        <w:rPr>
          <w:rFonts w:ascii="Arial" w:hAnsi="Arial" w:cs="Arial"/>
        </w:rPr>
        <w:t>specifically for the purposes of the present research.</w:t>
      </w:r>
    </w:p>
    <w:p w14:paraId="25D696DC" w14:textId="3D0EE684" w:rsidR="00B1087E" w:rsidRPr="00277BEC" w:rsidRDefault="00B1087E" w:rsidP="00277BEC">
      <w:pPr>
        <w:jc w:val="left"/>
        <w:rPr>
          <w:rFonts w:ascii="Arial" w:hAnsi="Arial" w:cs="Arial"/>
        </w:rPr>
      </w:pPr>
      <w:r w:rsidRPr="00277BEC">
        <w:rPr>
          <w:rFonts w:ascii="Arial" w:hAnsi="Arial" w:cs="Arial"/>
        </w:rPr>
        <w:t xml:space="preserve">The alignment between the reading and numeracy </w:t>
      </w:r>
      <w:r w:rsidR="006E4E57" w:rsidRPr="00277BEC">
        <w:rPr>
          <w:rFonts w:ascii="Arial" w:hAnsi="Arial" w:cs="Arial"/>
        </w:rPr>
        <w:t>scales of the Assessment Tool</w:t>
      </w:r>
      <w:r w:rsidRPr="00277BEC">
        <w:rPr>
          <w:rFonts w:ascii="Arial" w:hAnsi="Arial" w:cs="Arial"/>
        </w:rPr>
        <w:t xml:space="preserve">, and </w:t>
      </w:r>
      <w:r w:rsidR="008234DB" w:rsidRPr="00277BEC">
        <w:rPr>
          <w:rFonts w:ascii="Arial" w:hAnsi="Arial" w:cs="Arial"/>
        </w:rPr>
        <w:t>Level</w:t>
      </w:r>
      <w:r w:rsidRPr="00277BEC">
        <w:rPr>
          <w:rFonts w:ascii="Arial" w:hAnsi="Arial" w:cs="Arial"/>
        </w:rPr>
        <w:t xml:space="preserve"> 3 of the Adult </w:t>
      </w:r>
      <w:r w:rsidR="008F3A54" w:rsidRPr="00277BEC">
        <w:rPr>
          <w:rFonts w:ascii="Arial" w:hAnsi="Arial" w:cs="Arial"/>
        </w:rPr>
        <w:t>Literacy</w:t>
      </w:r>
      <w:r w:rsidRPr="00277BEC">
        <w:rPr>
          <w:rFonts w:ascii="Arial" w:hAnsi="Arial" w:cs="Arial"/>
        </w:rPr>
        <w:t xml:space="preserve"> and Life Skills (ALL) survey was explored through a critical analysis of previous empirical work. This was undertaken because </w:t>
      </w:r>
      <w:r w:rsidR="00787AD6" w:rsidRPr="00277BEC">
        <w:rPr>
          <w:rFonts w:ascii="Arial" w:hAnsi="Arial" w:cs="Arial"/>
        </w:rPr>
        <w:t>ALL L</w:t>
      </w:r>
      <w:r w:rsidR="00DA6B38" w:rsidRPr="00277BEC">
        <w:rPr>
          <w:rFonts w:ascii="Arial" w:hAnsi="Arial" w:cs="Arial"/>
        </w:rPr>
        <w:t>evel</w:t>
      </w:r>
      <w:r w:rsidRPr="00277BEC">
        <w:rPr>
          <w:rFonts w:ascii="Arial" w:hAnsi="Arial" w:cs="Arial"/>
        </w:rPr>
        <w:t xml:space="preserve"> 3 is established as a benchmark </w:t>
      </w:r>
      <w:r w:rsidR="00D47C0C" w:rsidRPr="00277BEC">
        <w:rPr>
          <w:rFonts w:ascii="Arial" w:hAnsi="Arial" w:cs="Arial"/>
        </w:rPr>
        <w:t xml:space="preserve">that describes the literacy and numeracy competencies that people need to operate in an </w:t>
      </w:r>
      <w:r w:rsidR="00A368A5" w:rsidRPr="00277BEC">
        <w:rPr>
          <w:rFonts w:ascii="Arial" w:hAnsi="Arial" w:cs="Arial"/>
        </w:rPr>
        <w:t>information-rich</w:t>
      </w:r>
      <w:r w:rsidR="00D47C0C" w:rsidRPr="00277BEC">
        <w:rPr>
          <w:rFonts w:ascii="Arial" w:hAnsi="Arial" w:cs="Arial"/>
        </w:rPr>
        <w:t xml:space="preserve"> society. </w:t>
      </w:r>
      <w:r w:rsidRPr="00277BEC">
        <w:rPr>
          <w:rFonts w:ascii="Arial" w:hAnsi="Arial" w:cs="Arial"/>
        </w:rPr>
        <w:t xml:space="preserve">It was concluded that </w:t>
      </w:r>
      <w:r w:rsidR="00E817CD">
        <w:rPr>
          <w:rFonts w:ascii="Arial" w:hAnsi="Arial" w:cs="Arial"/>
        </w:rPr>
        <w:t>S</w:t>
      </w:r>
      <w:r w:rsidRPr="00277BEC">
        <w:rPr>
          <w:rFonts w:ascii="Arial" w:hAnsi="Arial" w:cs="Arial"/>
        </w:rPr>
        <w:t>tep</w:t>
      </w:r>
      <w:r w:rsidR="00E817CD">
        <w:rPr>
          <w:rFonts w:ascii="Arial" w:hAnsi="Arial" w:cs="Arial"/>
        </w:rPr>
        <w:t> </w:t>
      </w:r>
      <w:r w:rsidRPr="00277BEC">
        <w:rPr>
          <w:rFonts w:ascii="Arial" w:hAnsi="Arial" w:cs="Arial"/>
        </w:rPr>
        <w:t xml:space="preserve">5 on the numeracy </w:t>
      </w:r>
      <w:r w:rsidR="000F436D" w:rsidRPr="00277BEC">
        <w:rPr>
          <w:rFonts w:ascii="Arial" w:hAnsi="Arial" w:cs="Arial"/>
        </w:rPr>
        <w:t xml:space="preserve">scale </w:t>
      </w:r>
      <w:r w:rsidRPr="00277BEC">
        <w:rPr>
          <w:rFonts w:ascii="Arial" w:hAnsi="Arial" w:cs="Arial"/>
        </w:rPr>
        <w:t xml:space="preserve">and </w:t>
      </w:r>
      <w:r w:rsidR="00E817CD">
        <w:rPr>
          <w:rFonts w:ascii="Arial" w:hAnsi="Arial" w:cs="Arial"/>
        </w:rPr>
        <w:t>S</w:t>
      </w:r>
      <w:r w:rsidRPr="00277BEC">
        <w:rPr>
          <w:rFonts w:ascii="Arial" w:hAnsi="Arial" w:cs="Arial"/>
        </w:rPr>
        <w:t xml:space="preserve">tep 4 on the reading </w:t>
      </w:r>
      <w:r w:rsidR="002E1C0E" w:rsidRPr="00277BEC">
        <w:rPr>
          <w:rFonts w:ascii="Arial" w:hAnsi="Arial" w:cs="Arial"/>
        </w:rPr>
        <w:t>scale</w:t>
      </w:r>
      <w:r w:rsidR="000076C7" w:rsidRPr="00277BEC">
        <w:rPr>
          <w:rFonts w:ascii="Arial" w:hAnsi="Arial" w:cs="Arial"/>
        </w:rPr>
        <w:t xml:space="preserve"> </w:t>
      </w:r>
      <w:r w:rsidRPr="00277BEC">
        <w:rPr>
          <w:rFonts w:ascii="Arial" w:hAnsi="Arial" w:cs="Arial"/>
        </w:rPr>
        <w:t xml:space="preserve">are </w:t>
      </w:r>
      <w:r w:rsidR="002D1979" w:rsidRPr="00277BEC">
        <w:rPr>
          <w:rFonts w:ascii="Arial" w:hAnsi="Arial" w:cs="Arial"/>
        </w:rPr>
        <w:t xml:space="preserve">best </w:t>
      </w:r>
      <w:r w:rsidRPr="00277BEC">
        <w:rPr>
          <w:rFonts w:ascii="Arial" w:hAnsi="Arial" w:cs="Arial"/>
        </w:rPr>
        <w:t xml:space="preserve">aligned to </w:t>
      </w:r>
      <w:r w:rsidR="00787AD6" w:rsidRPr="00277BEC">
        <w:rPr>
          <w:rFonts w:ascii="Arial" w:hAnsi="Arial" w:cs="Arial"/>
        </w:rPr>
        <w:t>ALL L</w:t>
      </w:r>
      <w:r w:rsidR="00DA6B38" w:rsidRPr="00277BEC">
        <w:rPr>
          <w:rFonts w:ascii="Arial" w:hAnsi="Arial" w:cs="Arial"/>
        </w:rPr>
        <w:t>evel</w:t>
      </w:r>
      <w:r w:rsidRPr="00277BEC">
        <w:rPr>
          <w:rFonts w:ascii="Arial" w:hAnsi="Arial" w:cs="Arial"/>
        </w:rPr>
        <w:t xml:space="preserve"> 3.</w:t>
      </w:r>
      <w:r w:rsidR="00A128C9" w:rsidRPr="00277BEC">
        <w:rPr>
          <w:rFonts w:ascii="Arial" w:hAnsi="Arial" w:cs="Arial"/>
        </w:rPr>
        <w:t xml:space="preserve"> These steps are referred to throughout this report as the literacy and numeracy benchmarks.</w:t>
      </w:r>
    </w:p>
    <w:p w14:paraId="34664A84" w14:textId="5505579A" w:rsidR="001B44DE" w:rsidRPr="00277BEC" w:rsidRDefault="00B1087E" w:rsidP="00277BEC">
      <w:pPr>
        <w:jc w:val="left"/>
        <w:rPr>
          <w:rFonts w:ascii="Arial" w:hAnsi="Arial" w:cs="Arial"/>
        </w:rPr>
      </w:pPr>
      <w:r w:rsidRPr="00277BEC">
        <w:rPr>
          <w:rFonts w:ascii="Arial" w:hAnsi="Arial" w:cs="Arial"/>
        </w:rPr>
        <w:t>The literacy and numeracy requirements for NCEA can be met by either of two pathways</w:t>
      </w:r>
      <w:r w:rsidR="006668FB" w:rsidRPr="00277BEC">
        <w:rPr>
          <w:rFonts w:ascii="Arial" w:hAnsi="Arial" w:cs="Arial"/>
        </w:rPr>
        <w:t>:</w:t>
      </w:r>
      <w:r w:rsidRPr="00277BEC">
        <w:rPr>
          <w:rFonts w:ascii="Arial" w:hAnsi="Arial" w:cs="Arial"/>
        </w:rPr>
        <w:t xml:space="preserve"> by completing a set of three unit standards specifically designed for each of these requirements, or by achieving 10 credits from each of two (extensive) sets of achievement standards deemed to respectively entail substantial literacy and numeracy demands. It was shown that students completing the achievement standard pathway </w:t>
      </w:r>
      <w:r w:rsidR="009F11B9" w:rsidRPr="00277BEC">
        <w:rPr>
          <w:rFonts w:ascii="Arial" w:hAnsi="Arial" w:cs="Arial"/>
        </w:rPr>
        <w:t xml:space="preserve">have a high probability of attaining NCEA Level 1 by the end of </w:t>
      </w:r>
      <w:r w:rsidR="00E817CD">
        <w:rPr>
          <w:rFonts w:ascii="Arial" w:hAnsi="Arial" w:cs="Arial"/>
        </w:rPr>
        <w:t>Y</w:t>
      </w:r>
      <w:r w:rsidR="0061021F" w:rsidRPr="00277BEC">
        <w:rPr>
          <w:rFonts w:ascii="Arial" w:hAnsi="Arial" w:cs="Arial"/>
        </w:rPr>
        <w:t>ear</w:t>
      </w:r>
      <w:r w:rsidR="009F11B9" w:rsidRPr="00277BEC">
        <w:rPr>
          <w:rFonts w:ascii="Arial" w:hAnsi="Arial" w:cs="Arial"/>
        </w:rPr>
        <w:t xml:space="preserve"> 11 and NCEA Level 2 by the end of </w:t>
      </w:r>
      <w:r w:rsidR="00E817CD">
        <w:rPr>
          <w:rFonts w:ascii="Arial" w:hAnsi="Arial" w:cs="Arial"/>
        </w:rPr>
        <w:t>Y</w:t>
      </w:r>
      <w:r w:rsidR="0061021F" w:rsidRPr="00277BEC">
        <w:rPr>
          <w:rFonts w:ascii="Arial" w:hAnsi="Arial" w:cs="Arial"/>
        </w:rPr>
        <w:t>ear</w:t>
      </w:r>
      <w:r w:rsidR="009F11B9" w:rsidRPr="00277BEC">
        <w:rPr>
          <w:rFonts w:ascii="Arial" w:hAnsi="Arial" w:cs="Arial"/>
        </w:rPr>
        <w:t xml:space="preserve"> 12, but that the probabilities of attaining these qualifications is much lower for students completing the unit standard pathways.</w:t>
      </w:r>
    </w:p>
    <w:p w14:paraId="53458690" w14:textId="6DB7C19D" w:rsidR="00C05947" w:rsidRPr="00277BEC" w:rsidRDefault="009F11B9" w:rsidP="00382857">
      <w:pPr>
        <w:jc w:val="left"/>
        <w:rPr>
          <w:rFonts w:ascii="Arial" w:hAnsi="Arial" w:cs="Arial"/>
        </w:rPr>
      </w:pPr>
      <w:r w:rsidRPr="00277BEC">
        <w:rPr>
          <w:rFonts w:ascii="Arial" w:hAnsi="Arial" w:cs="Arial"/>
        </w:rPr>
        <w:t xml:space="preserve">Logistic regression analyses </w:t>
      </w:r>
      <w:r w:rsidR="005F3AAF" w:rsidRPr="00277BEC">
        <w:rPr>
          <w:rFonts w:ascii="Arial" w:hAnsi="Arial" w:cs="Arial"/>
        </w:rPr>
        <w:t>we</w:t>
      </w:r>
      <w:r w:rsidRPr="00277BEC">
        <w:rPr>
          <w:rFonts w:ascii="Arial" w:hAnsi="Arial" w:cs="Arial"/>
        </w:rPr>
        <w:t xml:space="preserve">re reported, modelling the probability of attaining each of the literacy and numeracy requirements for NCEA, as well as each level of the certificate itself, on the basis of performance on </w:t>
      </w:r>
      <w:r w:rsidR="00811B8D" w:rsidRPr="00277BEC">
        <w:rPr>
          <w:rFonts w:ascii="Arial" w:hAnsi="Arial" w:cs="Arial"/>
        </w:rPr>
        <w:t>reading and</w:t>
      </w:r>
      <w:r w:rsidR="00787AD6" w:rsidRPr="00277BEC">
        <w:rPr>
          <w:rFonts w:ascii="Arial" w:hAnsi="Arial" w:cs="Arial"/>
        </w:rPr>
        <w:t xml:space="preserve"> numeracy assessments </w:t>
      </w:r>
      <w:r w:rsidR="00787AD6" w:rsidRPr="00277BEC">
        <w:rPr>
          <w:rFonts w:ascii="Arial" w:hAnsi="Arial" w:cs="Arial"/>
        </w:rPr>
        <w:lastRenderedPageBreak/>
        <w:t>from the A</w:t>
      </w:r>
      <w:r w:rsidR="00811B8D" w:rsidRPr="00277BEC">
        <w:rPr>
          <w:rFonts w:ascii="Arial" w:hAnsi="Arial" w:cs="Arial"/>
        </w:rPr>
        <w:t>ssess</w:t>
      </w:r>
      <w:r w:rsidR="00787AD6" w:rsidRPr="00277BEC">
        <w:rPr>
          <w:rFonts w:ascii="Arial" w:hAnsi="Arial" w:cs="Arial"/>
        </w:rPr>
        <w:t>ment T</w:t>
      </w:r>
      <w:r w:rsidR="00811B8D" w:rsidRPr="00277BEC">
        <w:rPr>
          <w:rFonts w:ascii="Arial" w:hAnsi="Arial" w:cs="Arial"/>
        </w:rPr>
        <w:t>ool</w:t>
      </w:r>
      <w:r w:rsidR="007A2F7D" w:rsidRPr="00277BEC">
        <w:rPr>
          <w:rFonts w:ascii="Arial" w:hAnsi="Arial" w:cs="Arial"/>
        </w:rPr>
        <w:t xml:space="preserve">. </w:t>
      </w:r>
      <w:r w:rsidRPr="00277BEC">
        <w:rPr>
          <w:rFonts w:ascii="Arial" w:hAnsi="Arial" w:cs="Arial"/>
        </w:rPr>
        <w:t xml:space="preserve">These analyses </w:t>
      </w:r>
      <w:r w:rsidR="00811B8D" w:rsidRPr="00277BEC">
        <w:rPr>
          <w:rFonts w:ascii="Arial" w:hAnsi="Arial" w:cs="Arial"/>
        </w:rPr>
        <w:t>showed that performance on the A</w:t>
      </w:r>
      <w:r w:rsidRPr="00277BEC">
        <w:rPr>
          <w:rFonts w:ascii="Arial" w:hAnsi="Arial" w:cs="Arial"/>
        </w:rPr>
        <w:t xml:space="preserve">ssessment </w:t>
      </w:r>
      <w:r w:rsidR="00811B8D" w:rsidRPr="00277BEC">
        <w:rPr>
          <w:rFonts w:ascii="Arial" w:hAnsi="Arial" w:cs="Arial"/>
        </w:rPr>
        <w:t>T</w:t>
      </w:r>
      <w:r w:rsidRPr="00277BEC">
        <w:rPr>
          <w:rFonts w:ascii="Arial" w:hAnsi="Arial" w:cs="Arial"/>
        </w:rPr>
        <w:t xml:space="preserve">ool does not strongly discriminate students with a high probability of attaining these credentials from students unlikely to attain them. The empirical distributions of students attaining </w:t>
      </w:r>
      <w:r w:rsidR="007A5EE5" w:rsidRPr="00277BEC">
        <w:rPr>
          <w:rFonts w:ascii="Arial" w:hAnsi="Arial" w:cs="Arial"/>
        </w:rPr>
        <w:t>these</w:t>
      </w:r>
      <w:r w:rsidRPr="00277BEC">
        <w:rPr>
          <w:rFonts w:ascii="Arial" w:hAnsi="Arial" w:cs="Arial"/>
        </w:rPr>
        <w:t xml:space="preserve"> credential</w:t>
      </w:r>
      <w:r w:rsidR="007A5EE5" w:rsidRPr="00277BEC">
        <w:rPr>
          <w:rFonts w:ascii="Arial" w:hAnsi="Arial" w:cs="Arial"/>
        </w:rPr>
        <w:t>s</w:t>
      </w:r>
      <w:r w:rsidRPr="00277BEC">
        <w:rPr>
          <w:rFonts w:ascii="Arial" w:hAnsi="Arial" w:cs="Arial"/>
        </w:rPr>
        <w:t xml:space="preserve"> </w:t>
      </w:r>
      <w:r w:rsidR="007A5EE5" w:rsidRPr="00277BEC">
        <w:rPr>
          <w:rFonts w:ascii="Arial" w:hAnsi="Arial" w:cs="Arial"/>
        </w:rPr>
        <w:t xml:space="preserve">on </w:t>
      </w:r>
      <w:r w:rsidR="00A128C9" w:rsidRPr="00277BEC">
        <w:rPr>
          <w:rFonts w:ascii="Arial" w:hAnsi="Arial" w:cs="Arial"/>
        </w:rPr>
        <w:t xml:space="preserve">the </w:t>
      </w:r>
      <w:r w:rsidR="007A5EE5" w:rsidRPr="00277BEC">
        <w:rPr>
          <w:rFonts w:ascii="Arial" w:hAnsi="Arial" w:cs="Arial"/>
        </w:rPr>
        <w:t xml:space="preserve">reading and numeracy </w:t>
      </w:r>
      <w:r w:rsidR="00747C3A" w:rsidRPr="00277BEC">
        <w:rPr>
          <w:rFonts w:ascii="Arial" w:hAnsi="Arial" w:cs="Arial"/>
        </w:rPr>
        <w:t>scales</w:t>
      </w:r>
      <w:r w:rsidR="007A5EE5" w:rsidRPr="00277BEC">
        <w:rPr>
          <w:rFonts w:ascii="Arial" w:hAnsi="Arial" w:cs="Arial"/>
        </w:rPr>
        <w:t xml:space="preserve"> of the </w:t>
      </w:r>
      <w:r w:rsidR="00811B8D" w:rsidRPr="00277BEC">
        <w:rPr>
          <w:rFonts w:ascii="Arial" w:hAnsi="Arial" w:cs="Arial"/>
        </w:rPr>
        <w:t>Assessment T</w:t>
      </w:r>
      <w:r w:rsidR="007A5EE5" w:rsidRPr="00277BEC">
        <w:rPr>
          <w:rFonts w:ascii="Arial" w:hAnsi="Arial" w:cs="Arial"/>
        </w:rPr>
        <w:t xml:space="preserve">ool suggest that none except NCEA Level 3 can be taken to indicate a high probability </w:t>
      </w:r>
      <w:r w:rsidR="00A128C9" w:rsidRPr="00277BEC">
        <w:rPr>
          <w:rFonts w:ascii="Arial" w:hAnsi="Arial" w:cs="Arial"/>
        </w:rPr>
        <w:t>that students are operating at the literacy and numeracy benchmarks</w:t>
      </w:r>
      <w:r w:rsidR="007A5EE5" w:rsidRPr="00277BEC">
        <w:rPr>
          <w:rFonts w:ascii="Arial" w:hAnsi="Arial" w:cs="Arial"/>
        </w:rPr>
        <w:t>.</w:t>
      </w:r>
      <w:r w:rsidR="000729FE" w:rsidRPr="00277BEC">
        <w:rPr>
          <w:rFonts w:ascii="Arial" w:hAnsi="Arial" w:cs="Arial"/>
        </w:rPr>
        <w:t xml:space="preserve"> </w:t>
      </w:r>
      <w:r w:rsidR="00811B8D" w:rsidRPr="00277BEC">
        <w:rPr>
          <w:rFonts w:ascii="Arial" w:hAnsi="Arial" w:cs="Arial"/>
        </w:rPr>
        <w:t xml:space="preserve">The distributions of students from the school sample in </w:t>
      </w:r>
      <w:r w:rsidR="000A1A43">
        <w:rPr>
          <w:rFonts w:ascii="Arial" w:hAnsi="Arial" w:cs="Arial"/>
        </w:rPr>
        <w:t>Y</w:t>
      </w:r>
      <w:r w:rsidR="00811B8D" w:rsidRPr="00277BEC">
        <w:rPr>
          <w:rFonts w:ascii="Arial" w:hAnsi="Arial" w:cs="Arial"/>
        </w:rPr>
        <w:t xml:space="preserve">ears 11 and 12 on the reading and numeracy scales who had attained </w:t>
      </w:r>
      <w:r w:rsidR="008234DB" w:rsidRPr="00277BEC">
        <w:rPr>
          <w:rFonts w:ascii="Arial" w:hAnsi="Arial" w:cs="Arial"/>
        </w:rPr>
        <w:t>NCEA L</w:t>
      </w:r>
      <w:r w:rsidR="00B62E87" w:rsidRPr="00277BEC">
        <w:rPr>
          <w:rFonts w:ascii="Arial" w:hAnsi="Arial" w:cs="Arial"/>
        </w:rPr>
        <w:t>evels 1 and 2 are concerning</w:t>
      </w:r>
      <w:r w:rsidR="00811B8D" w:rsidRPr="00277BEC">
        <w:rPr>
          <w:rFonts w:ascii="Arial" w:hAnsi="Arial" w:cs="Arial"/>
        </w:rPr>
        <w:t xml:space="preserve">. </w:t>
      </w:r>
      <w:r w:rsidR="00C05947" w:rsidRPr="00277BEC">
        <w:rPr>
          <w:rFonts w:ascii="Arial" w:hAnsi="Arial" w:cs="Arial"/>
        </w:rPr>
        <w:t>Approximately h</w:t>
      </w:r>
      <w:r w:rsidR="00B62E87" w:rsidRPr="00277BEC">
        <w:rPr>
          <w:rFonts w:ascii="Arial" w:hAnsi="Arial" w:cs="Arial"/>
        </w:rPr>
        <w:t xml:space="preserve">alf of the </w:t>
      </w:r>
      <w:r w:rsidR="000A1A43">
        <w:rPr>
          <w:rFonts w:ascii="Arial" w:hAnsi="Arial" w:cs="Arial"/>
        </w:rPr>
        <w:t>Y</w:t>
      </w:r>
      <w:r w:rsidR="0061021F" w:rsidRPr="00277BEC">
        <w:rPr>
          <w:rFonts w:ascii="Arial" w:hAnsi="Arial" w:cs="Arial"/>
        </w:rPr>
        <w:t>ear</w:t>
      </w:r>
      <w:r w:rsidR="00B62E87" w:rsidRPr="00277BEC">
        <w:rPr>
          <w:rFonts w:ascii="Arial" w:hAnsi="Arial" w:cs="Arial"/>
        </w:rPr>
        <w:t xml:space="preserve"> 11 students with NCEA Level 1 were below </w:t>
      </w:r>
      <w:r w:rsidR="00AB7E94" w:rsidRPr="00277BEC">
        <w:rPr>
          <w:rFonts w:ascii="Arial" w:hAnsi="Arial" w:cs="Arial"/>
        </w:rPr>
        <w:t xml:space="preserve">each of </w:t>
      </w:r>
      <w:r w:rsidR="000A1A43">
        <w:rPr>
          <w:rFonts w:ascii="Arial" w:hAnsi="Arial" w:cs="Arial"/>
        </w:rPr>
        <w:t>S</w:t>
      </w:r>
      <w:r w:rsidR="00B62E87" w:rsidRPr="00277BEC">
        <w:rPr>
          <w:rFonts w:ascii="Arial" w:hAnsi="Arial" w:cs="Arial"/>
        </w:rPr>
        <w:t xml:space="preserve">tep 4 on the reading </w:t>
      </w:r>
      <w:r w:rsidR="000076C7" w:rsidRPr="00277BEC">
        <w:rPr>
          <w:rFonts w:ascii="Arial" w:hAnsi="Arial" w:cs="Arial"/>
        </w:rPr>
        <w:t xml:space="preserve">progressions </w:t>
      </w:r>
      <w:r w:rsidR="00C05947" w:rsidRPr="00277BEC">
        <w:rPr>
          <w:rFonts w:ascii="Arial" w:hAnsi="Arial" w:cs="Arial"/>
        </w:rPr>
        <w:t>(51</w:t>
      </w:r>
      <w:r w:rsidR="000A1A43">
        <w:rPr>
          <w:rFonts w:ascii="Arial" w:hAnsi="Arial" w:cs="Arial"/>
        </w:rPr>
        <w:t xml:space="preserve"> percent</w:t>
      </w:r>
      <w:r w:rsidR="00C05947" w:rsidRPr="00277BEC">
        <w:rPr>
          <w:rFonts w:ascii="Arial" w:hAnsi="Arial" w:cs="Arial"/>
        </w:rPr>
        <w:t>)</w:t>
      </w:r>
      <w:r w:rsidR="00B62E87" w:rsidRPr="00277BEC">
        <w:rPr>
          <w:rFonts w:ascii="Arial" w:hAnsi="Arial" w:cs="Arial"/>
        </w:rPr>
        <w:t xml:space="preserve"> and </w:t>
      </w:r>
      <w:r w:rsidR="000A1A43">
        <w:rPr>
          <w:rFonts w:ascii="Arial" w:hAnsi="Arial" w:cs="Arial"/>
        </w:rPr>
        <w:t>S</w:t>
      </w:r>
      <w:r w:rsidR="00B62E87" w:rsidRPr="00277BEC">
        <w:rPr>
          <w:rFonts w:ascii="Arial" w:hAnsi="Arial" w:cs="Arial"/>
        </w:rPr>
        <w:t xml:space="preserve">tep 5 on the numeracy </w:t>
      </w:r>
      <w:r w:rsidR="000076C7" w:rsidRPr="00277BEC">
        <w:rPr>
          <w:rFonts w:ascii="Arial" w:hAnsi="Arial" w:cs="Arial"/>
        </w:rPr>
        <w:t xml:space="preserve">progressions </w:t>
      </w:r>
      <w:r w:rsidR="00C05947" w:rsidRPr="00277BEC">
        <w:rPr>
          <w:rFonts w:ascii="Arial" w:hAnsi="Arial" w:cs="Arial"/>
        </w:rPr>
        <w:t>(47</w:t>
      </w:r>
      <w:r w:rsidR="000A1A43">
        <w:rPr>
          <w:rFonts w:ascii="Arial" w:hAnsi="Arial" w:cs="Arial"/>
        </w:rPr>
        <w:t xml:space="preserve"> percent</w:t>
      </w:r>
      <w:r w:rsidR="00C05947" w:rsidRPr="00277BEC">
        <w:rPr>
          <w:rFonts w:ascii="Arial" w:hAnsi="Arial" w:cs="Arial"/>
        </w:rPr>
        <w:t>)</w:t>
      </w:r>
      <w:r w:rsidR="00B62E87" w:rsidRPr="00277BEC">
        <w:rPr>
          <w:rFonts w:ascii="Arial" w:hAnsi="Arial" w:cs="Arial"/>
        </w:rPr>
        <w:t xml:space="preserve">. </w:t>
      </w:r>
      <w:r w:rsidR="00C05947" w:rsidRPr="00277BEC">
        <w:rPr>
          <w:rFonts w:ascii="Arial" w:hAnsi="Arial" w:cs="Arial"/>
        </w:rPr>
        <w:t>Approximately 40</w:t>
      </w:r>
      <w:r w:rsidR="000A1A43">
        <w:rPr>
          <w:rFonts w:ascii="Arial" w:hAnsi="Arial" w:cs="Arial"/>
        </w:rPr>
        <w:t xml:space="preserve"> percent</w:t>
      </w:r>
      <w:r w:rsidR="00C05947" w:rsidRPr="00277BEC">
        <w:rPr>
          <w:rFonts w:ascii="Arial" w:hAnsi="Arial" w:cs="Arial"/>
        </w:rPr>
        <w:t xml:space="preserve"> of the </w:t>
      </w:r>
      <w:r w:rsidR="000A1A43">
        <w:rPr>
          <w:rFonts w:ascii="Arial" w:hAnsi="Arial" w:cs="Arial"/>
        </w:rPr>
        <w:t>Y</w:t>
      </w:r>
      <w:r w:rsidR="00C05947" w:rsidRPr="00277BEC">
        <w:rPr>
          <w:rFonts w:ascii="Arial" w:hAnsi="Arial" w:cs="Arial"/>
        </w:rPr>
        <w:t xml:space="preserve">ear 12 students with NCEA Level 2 were below </w:t>
      </w:r>
      <w:r w:rsidR="00AB7E94" w:rsidRPr="00277BEC">
        <w:rPr>
          <w:rFonts w:ascii="Arial" w:hAnsi="Arial" w:cs="Arial"/>
        </w:rPr>
        <w:t xml:space="preserve">each of </w:t>
      </w:r>
      <w:r w:rsidR="000A1A43">
        <w:rPr>
          <w:rFonts w:ascii="Arial" w:hAnsi="Arial" w:cs="Arial"/>
        </w:rPr>
        <w:t>S</w:t>
      </w:r>
      <w:r w:rsidR="00C05947" w:rsidRPr="00277BEC">
        <w:rPr>
          <w:rFonts w:ascii="Arial" w:hAnsi="Arial" w:cs="Arial"/>
        </w:rPr>
        <w:t xml:space="preserve">tep 4 on the reading </w:t>
      </w:r>
      <w:r w:rsidR="000076C7" w:rsidRPr="00277BEC">
        <w:rPr>
          <w:rFonts w:ascii="Arial" w:hAnsi="Arial" w:cs="Arial"/>
        </w:rPr>
        <w:t xml:space="preserve">progressions </w:t>
      </w:r>
      <w:r w:rsidR="00C05947" w:rsidRPr="00277BEC">
        <w:rPr>
          <w:rFonts w:ascii="Arial" w:hAnsi="Arial" w:cs="Arial"/>
        </w:rPr>
        <w:t>(42</w:t>
      </w:r>
      <w:r w:rsidR="000A1A43">
        <w:rPr>
          <w:rFonts w:ascii="Arial" w:hAnsi="Arial" w:cs="Arial"/>
        </w:rPr>
        <w:t xml:space="preserve"> percent</w:t>
      </w:r>
      <w:r w:rsidR="00C05947" w:rsidRPr="00277BEC">
        <w:rPr>
          <w:rFonts w:ascii="Arial" w:hAnsi="Arial" w:cs="Arial"/>
        </w:rPr>
        <w:t xml:space="preserve">) and </w:t>
      </w:r>
      <w:r w:rsidR="000A1A43">
        <w:rPr>
          <w:rFonts w:ascii="Arial" w:hAnsi="Arial" w:cs="Arial"/>
        </w:rPr>
        <w:t>S</w:t>
      </w:r>
      <w:r w:rsidR="00C05947" w:rsidRPr="00277BEC">
        <w:rPr>
          <w:rFonts w:ascii="Arial" w:hAnsi="Arial" w:cs="Arial"/>
        </w:rPr>
        <w:t xml:space="preserve">tep 5 on the numeracy </w:t>
      </w:r>
      <w:r w:rsidR="000076C7" w:rsidRPr="00277BEC">
        <w:rPr>
          <w:rFonts w:ascii="Arial" w:hAnsi="Arial" w:cs="Arial"/>
        </w:rPr>
        <w:t xml:space="preserve">progressions </w:t>
      </w:r>
      <w:r w:rsidR="00C05947" w:rsidRPr="00277BEC">
        <w:rPr>
          <w:rFonts w:ascii="Arial" w:hAnsi="Arial" w:cs="Arial"/>
        </w:rPr>
        <w:t>(41</w:t>
      </w:r>
      <w:r w:rsidR="000A1A43">
        <w:rPr>
          <w:rFonts w:ascii="Arial" w:hAnsi="Arial" w:cs="Arial"/>
        </w:rPr>
        <w:t xml:space="preserve"> percent</w:t>
      </w:r>
      <w:r w:rsidR="00C05947" w:rsidRPr="00277BEC">
        <w:rPr>
          <w:rFonts w:ascii="Arial" w:hAnsi="Arial" w:cs="Arial"/>
        </w:rPr>
        <w:t xml:space="preserve">). </w:t>
      </w:r>
      <w:r w:rsidR="00A128C9" w:rsidRPr="00277BEC">
        <w:rPr>
          <w:rFonts w:ascii="Arial" w:hAnsi="Arial" w:cs="Arial"/>
        </w:rPr>
        <w:t xml:space="preserve">Even more concerning are the proportions of students who are at </w:t>
      </w:r>
      <w:r w:rsidR="00D81A0A" w:rsidRPr="00277BEC">
        <w:rPr>
          <w:rFonts w:ascii="Arial" w:hAnsi="Arial" w:cs="Arial"/>
        </w:rPr>
        <w:t xml:space="preserve">the lowest </w:t>
      </w:r>
      <w:r w:rsidR="00A128C9" w:rsidRPr="00277BEC">
        <w:rPr>
          <w:rFonts w:ascii="Arial" w:hAnsi="Arial" w:cs="Arial"/>
        </w:rPr>
        <w:t xml:space="preserve">steps on the progressions. </w:t>
      </w:r>
      <w:r w:rsidR="003D3ADB" w:rsidRPr="00277BEC">
        <w:rPr>
          <w:rFonts w:ascii="Arial" w:hAnsi="Arial" w:cs="Arial"/>
        </w:rPr>
        <w:t>For example</w:t>
      </w:r>
      <w:r w:rsidR="000A1A43">
        <w:rPr>
          <w:rFonts w:ascii="Arial" w:hAnsi="Arial" w:cs="Arial"/>
        </w:rPr>
        <w:t>,</w:t>
      </w:r>
      <w:r w:rsidR="003D3ADB" w:rsidRPr="00277BEC">
        <w:rPr>
          <w:rFonts w:ascii="Arial" w:hAnsi="Arial" w:cs="Arial"/>
        </w:rPr>
        <w:t xml:space="preserve"> </w:t>
      </w:r>
      <w:r w:rsidR="00A13906" w:rsidRPr="00277BEC">
        <w:rPr>
          <w:rFonts w:ascii="Arial" w:hAnsi="Arial" w:cs="Arial"/>
        </w:rPr>
        <w:t>9.1</w:t>
      </w:r>
      <w:r w:rsidR="000A1A43">
        <w:rPr>
          <w:rFonts w:ascii="Arial" w:hAnsi="Arial" w:cs="Arial"/>
        </w:rPr>
        <w:t xml:space="preserve"> percent</w:t>
      </w:r>
      <w:r w:rsidR="00A13906" w:rsidRPr="00277BEC">
        <w:rPr>
          <w:rFonts w:ascii="Arial" w:hAnsi="Arial" w:cs="Arial"/>
        </w:rPr>
        <w:t xml:space="preserve"> </w:t>
      </w:r>
      <w:r w:rsidR="00A128C9" w:rsidRPr="00277BEC">
        <w:rPr>
          <w:rFonts w:ascii="Arial" w:hAnsi="Arial" w:cs="Arial"/>
        </w:rPr>
        <w:t xml:space="preserve">of the </w:t>
      </w:r>
      <w:r w:rsidR="000A1A43">
        <w:rPr>
          <w:rFonts w:ascii="Arial" w:hAnsi="Arial" w:cs="Arial"/>
        </w:rPr>
        <w:t>Y</w:t>
      </w:r>
      <w:r w:rsidR="00A128C9" w:rsidRPr="00277BEC">
        <w:rPr>
          <w:rFonts w:ascii="Arial" w:hAnsi="Arial" w:cs="Arial"/>
        </w:rPr>
        <w:t xml:space="preserve">ear 12 students with NCEA Level 2 were </w:t>
      </w:r>
      <w:r w:rsidR="00D81A0A" w:rsidRPr="00277BEC">
        <w:rPr>
          <w:rFonts w:ascii="Arial" w:hAnsi="Arial" w:cs="Arial"/>
        </w:rPr>
        <w:t xml:space="preserve">below </w:t>
      </w:r>
      <w:r w:rsidR="000A1A43">
        <w:rPr>
          <w:rFonts w:ascii="Arial" w:hAnsi="Arial" w:cs="Arial"/>
        </w:rPr>
        <w:t>S</w:t>
      </w:r>
      <w:r w:rsidR="00A128C9" w:rsidRPr="00277BEC">
        <w:rPr>
          <w:rFonts w:ascii="Arial" w:hAnsi="Arial" w:cs="Arial"/>
        </w:rPr>
        <w:t xml:space="preserve">tep 3 on the reading progressions and </w:t>
      </w:r>
      <w:r w:rsidR="00A13906" w:rsidRPr="00277BEC">
        <w:rPr>
          <w:rFonts w:ascii="Arial" w:hAnsi="Arial" w:cs="Arial"/>
        </w:rPr>
        <w:t>15.2</w:t>
      </w:r>
      <w:r w:rsidR="000A1A43">
        <w:rPr>
          <w:rFonts w:ascii="Arial" w:hAnsi="Arial" w:cs="Arial"/>
        </w:rPr>
        <w:t xml:space="preserve"> percent</w:t>
      </w:r>
      <w:r w:rsidR="00A128C9" w:rsidRPr="00277BEC">
        <w:rPr>
          <w:rFonts w:ascii="Arial" w:hAnsi="Arial" w:cs="Arial"/>
        </w:rPr>
        <w:t xml:space="preserve"> were below </w:t>
      </w:r>
      <w:r w:rsidR="000A1A43">
        <w:rPr>
          <w:rFonts w:ascii="Arial" w:hAnsi="Arial" w:cs="Arial"/>
        </w:rPr>
        <w:t>S</w:t>
      </w:r>
      <w:r w:rsidR="00A128C9" w:rsidRPr="00277BEC">
        <w:rPr>
          <w:rFonts w:ascii="Arial" w:hAnsi="Arial" w:cs="Arial"/>
        </w:rPr>
        <w:t>tep</w:t>
      </w:r>
      <w:r w:rsidR="00D81A0A" w:rsidRPr="00277BEC">
        <w:rPr>
          <w:rFonts w:ascii="Arial" w:hAnsi="Arial" w:cs="Arial"/>
        </w:rPr>
        <w:t xml:space="preserve"> 4 of the numeracy progressions.</w:t>
      </w:r>
    </w:p>
    <w:p w14:paraId="2D482FA2" w14:textId="3D8B9A0C" w:rsidR="00B379C3" w:rsidRPr="00277BEC" w:rsidRDefault="00BF6B2B" w:rsidP="00382857">
      <w:pPr>
        <w:jc w:val="left"/>
        <w:rPr>
          <w:rFonts w:ascii="Arial" w:hAnsi="Arial" w:cs="Arial"/>
        </w:rPr>
      </w:pPr>
      <w:r w:rsidRPr="00277BEC">
        <w:rPr>
          <w:rFonts w:ascii="Arial" w:hAnsi="Arial" w:cs="Arial"/>
        </w:rPr>
        <w:t xml:space="preserve">Logistic regression analysis of the </w:t>
      </w:r>
      <w:r w:rsidR="00983CD4" w:rsidRPr="00277BEC">
        <w:rPr>
          <w:rFonts w:ascii="Arial" w:hAnsi="Arial" w:cs="Arial"/>
        </w:rPr>
        <w:t>End of Year 8 National S</w:t>
      </w:r>
      <w:r w:rsidRPr="00277BEC">
        <w:rPr>
          <w:rFonts w:ascii="Arial" w:hAnsi="Arial" w:cs="Arial"/>
        </w:rPr>
        <w:t xml:space="preserve">tandards data </w:t>
      </w:r>
      <w:r w:rsidR="000B28E1" w:rsidRPr="00277BEC">
        <w:rPr>
          <w:rFonts w:ascii="Arial" w:hAnsi="Arial" w:cs="Arial"/>
        </w:rPr>
        <w:t xml:space="preserve">showed a much tighter relationship between performance on the </w:t>
      </w:r>
      <w:r w:rsidR="00983CD4" w:rsidRPr="00277BEC">
        <w:rPr>
          <w:rFonts w:ascii="Arial" w:hAnsi="Arial" w:cs="Arial"/>
        </w:rPr>
        <w:t>Assessment Tool</w:t>
      </w:r>
      <w:r w:rsidR="000B28E1" w:rsidRPr="00277BEC">
        <w:rPr>
          <w:rFonts w:ascii="Arial" w:hAnsi="Arial" w:cs="Arial"/>
        </w:rPr>
        <w:t xml:space="preserve"> and the probability of being judged </w:t>
      </w:r>
      <w:r w:rsidR="000B28E1" w:rsidRPr="00277BEC">
        <w:rPr>
          <w:rFonts w:ascii="Arial" w:hAnsi="Arial" w:cs="Arial"/>
          <w:i/>
        </w:rPr>
        <w:t>at</w:t>
      </w:r>
      <w:r w:rsidR="000B28E1" w:rsidRPr="00277BEC">
        <w:rPr>
          <w:rFonts w:ascii="Arial" w:hAnsi="Arial" w:cs="Arial"/>
        </w:rPr>
        <w:t xml:space="preserve"> or </w:t>
      </w:r>
      <w:r w:rsidR="000B28E1" w:rsidRPr="00277BEC">
        <w:rPr>
          <w:rFonts w:ascii="Arial" w:hAnsi="Arial" w:cs="Arial"/>
          <w:i/>
        </w:rPr>
        <w:t>above</w:t>
      </w:r>
      <w:r w:rsidR="000B28E1" w:rsidRPr="00277BEC">
        <w:rPr>
          <w:rFonts w:ascii="Arial" w:hAnsi="Arial" w:cs="Arial"/>
        </w:rPr>
        <w:t xml:space="preserve"> the standard, than was evident in the logistic regression analysis of the NCEA data. The distributions on the </w:t>
      </w:r>
      <w:r w:rsidR="00747C3A" w:rsidRPr="00277BEC">
        <w:rPr>
          <w:rFonts w:ascii="Arial" w:hAnsi="Arial" w:cs="Arial"/>
        </w:rPr>
        <w:t xml:space="preserve">reading and numeracy </w:t>
      </w:r>
      <w:r w:rsidR="00D71DDD" w:rsidRPr="00277BEC">
        <w:rPr>
          <w:rFonts w:ascii="Arial" w:hAnsi="Arial" w:cs="Arial"/>
        </w:rPr>
        <w:t>scales</w:t>
      </w:r>
      <w:r w:rsidR="00747C3A" w:rsidRPr="00277BEC">
        <w:rPr>
          <w:rFonts w:ascii="Arial" w:hAnsi="Arial" w:cs="Arial"/>
        </w:rPr>
        <w:t xml:space="preserve"> of the Assessment Tool</w:t>
      </w:r>
      <w:r w:rsidR="000B28E1" w:rsidRPr="00277BEC">
        <w:rPr>
          <w:rFonts w:ascii="Arial" w:hAnsi="Arial" w:cs="Arial"/>
        </w:rPr>
        <w:t xml:space="preserve"> of </w:t>
      </w:r>
      <w:r w:rsidR="000A1A43">
        <w:rPr>
          <w:rFonts w:ascii="Arial" w:hAnsi="Arial" w:cs="Arial"/>
        </w:rPr>
        <w:t>Y</w:t>
      </w:r>
      <w:r w:rsidR="000F11C5" w:rsidRPr="00277BEC">
        <w:rPr>
          <w:rFonts w:ascii="Arial" w:hAnsi="Arial" w:cs="Arial"/>
        </w:rPr>
        <w:t>ear</w:t>
      </w:r>
      <w:r w:rsidR="00EA6C7C" w:rsidRPr="00277BEC">
        <w:rPr>
          <w:rFonts w:ascii="Arial" w:hAnsi="Arial" w:cs="Arial"/>
        </w:rPr>
        <w:t xml:space="preserve"> 8 students in each National S</w:t>
      </w:r>
      <w:r w:rsidR="000B28E1" w:rsidRPr="00277BEC">
        <w:rPr>
          <w:rFonts w:ascii="Arial" w:hAnsi="Arial" w:cs="Arial"/>
        </w:rPr>
        <w:t>tandards judgement category (</w:t>
      </w:r>
      <w:r w:rsidR="000B28E1" w:rsidRPr="00277BEC">
        <w:rPr>
          <w:rFonts w:ascii="Arial" w:hAnsi="Arial" w:cs="Arial"/>
          <w:i/>
        </w:rPr>
        <w:t>well</w:t>
      </w:r>
      <w:r w:rsidR="000B28E1" w:rsidRPr="00277BEC">
        <w:rPr>
          <w:rFonts w:ascii="Arial" w:hAnsi="Arial" w:cs="Arial"/>
        </w:rPr>
        <w:t xml:space="preserve"> </w:t>
      </w:r>
      <w:r w:rsidR="000B28E1" w:rsidRPr="00277BEC">
        <w:rPr>
          <w:rFonts w:ascii="Arial" w:hAnsi="Arial" w:cs="Arial"/>
          <w:i/>
        </w:rPr>
        <w:t>below</w:t>
      </w:r>
      <w:r w:rsidR="000B28E1" w:rsidRPr="00277BEC">
        <w:rPr>
          <w:rFonts w:ascii="Arial" w:hAnsi="Arial" w:cs="Arial"/>
        </w:rPr>
        <w:t xml:space="preserve">, </w:t>
      </w:r>
      <w:r w:rsidR="000B28E1" w:rsidRPr="00277BEC">
        <w:rPr>
          <w:rFonts w:ascii="Arial" w:hAnsi="Arial" w:cs="Arial"/>
          <w:i/>
        </w:rPr>
        <w:t>below</w:t>
      </w:r>
      <w:r w:rsidR="000B28E1" w:rsidRPr="00277BEC">
        <w:rPr>
          <w:rFonts w:ascii="Arial" w:hAnsi="Arial" w:cs="Arial"/>
        </w:rPr>
        <w:t xml:space="preserve">, </w:t>
      </w:r>
      <w:r w:rsidR="000B28E1" w:rsidRPr="00277BEC">
        <w:rPr>
          <w:rFonts w:ascii="Arial" w:hAnsi="Arial" w:cs="Arial"/>
          <w:i/>
        </w:rPr>
        <w:t>at</w:t>
      </w:r>
      <w:r w:rsidR="000B28E1" w:rsidRPr="00277BEC">
        <w:rPr>
          <w:rFonts w:ascii="Arial" w:hAnsi="Arial" w:cs="Arial"/>
        </w:rPr>
        <w:t xml:space="preserve"> and </w:t>
      </w:r>
      <w:r w:rsidR="000B28E1" w:rsidRPr="00277BEC">
        <w:rPr>
          <w:rFonts w:ascii="Arial" w:hAnsi="Arial" w:cs="Arial"/>
          <w:i/>
        </w:rPr>
        <w:t>above</w:t>
      </w:r>
      <w:r w:rsidR="000B28E1" w:rsidRPr="00277BEC">
        <w:rPr>
          <w:rFonts w:ascii="Arial" w:hAnsi="Arial" w:cs="Arial"/>
        </w:rPr>
        <w:t xml:space="preserve">) showed that substantial proportions of students judged as being </w:t>
      </w:r>
      <w:r w:rsidR="000B28E1" w:rsidRPr="00277BEC">
        <w:rPr>
          <w:rFonts w:ascii="Arial" w:hAnsi="Arial" w:cs="Arial"/>
          <w:i/>
        </w:rPr>
        <w:t>above</w:t>
      </w:r>
      <w:r w:rsidR="000B28E1" w:rsidRPr="00277BEC">
        <w:rPr>
          <w:rFonts w:ascii="Arial" w:hAnsi="Arial" w:cs="Arial"/>
        </w:rPr>
        <w:t xml:space="preserve"> the standard are alrea</w:t>
      </w:r>
      <w:r w:rsidR="009167A8" w:rsidRPr="00277BEC">
        <w:rPr>
          <w:rFonts w:ascii="Arial" w:hAnsi="Arial" w:cs="Arial"/>
        </w:rPr>
        <w:t xml:space="preserve">dy performing at </w:t>
      </w:r>
      <w:r w:rsidR="00D81A0A" w:rsidRPr="00277BEC">
        <w:rPr>
          <w:rFonts w:ascii="Arial" w:hAnsi="Arial" w:cs="Arial"/>
        </w:rPr>
        <w:t>the</w:t>
      </w:r>
      <w:r w:rsidR="000B28E1" w:rsidRPr="00277BEC">
        <w:rPr>
          <w:rFonts w:ascii="Arial" w:hAnsi="Arial" w:cs="Arial"/>
        </w:rPr>
        <w:t xml:space="preserve"> literacy and numeracy</w:t>
      </w:r>
      <w:r w:rsidR="00D81A0A" w:rsidRPr="00277BEC">
        <w:rPr>
          <w:rFonts w:ascii="Arial" w:hAnsi="Arial" w:cs="Arial"/>
        </w:rPr>
        <w:t xml:space="preserve"> benchmarks</w:t>
      </w:r>
      <w:r w:rsidR="000B28E1" w:rsidRPr="00277BEC">
        <w:rPr>
          <w:rFonts w:ascii="Arial" w:hAnsi="Arial" w:cs="Arial"/>
        </w:rPr>
        <w:t xml:space="preserve">, and that the performance of those judged as being </w:t>
      </w:r>
      <w:r w:rsidR="000B28E1" w:rsidRPr="00277BEC">
        <w:rPr>
          <w:rFonts w:ascii="Arial" w:hAnsi="Arial" w:cs="Arial"/>
          <w:i/>
        </w:rPr>
        <w:t>at</w:t>
      </w:r>
      <w:r w:rsidR="000B28E1" w:rsidRPr="00277BEC">
        <w:rPr>
          <w:rFonts w:ascii="Arial" w:hAnsi="Arial" w:cs="Arial"/>
        </w:rPr>
        <w:t xml:space="preserve"> the standard are predominately just </w:t>
      </w:r>
      <w:r w:rsidR="009167A8" w:rsidRPr="00277BEC">
        <w:rPr>
          <w:rFonts w:ascii="Arial" w:hAnsi="Arial" w:cs="Arial"/>
        </w:rPr>
        <w:t xml:space="preserve">one step below </w:t>
      </w:r>
      <w:r w:rsidR="00D81A0A" w:rsidRPr="00277BEC">
        <w:rPr>
          <w:rFonts w:ascii="Arial" w:hAnsi="Arial" w:cs="Arial"/>
        </w:rPr>
        <w:t>the benchmarks</w:t>
      </w:r>
      <w:r w:rsidR="000B28E1" w:rsidRPr="00277BEC">
        <w:rPr>
          <w:rFonts w:ascii="Arial" w:hAnsi="Arial" w:cs="Arial"/>
        </w:rPr>
        <w:t>.</w:t>
      </w:r>
    </w:p>
    <w:p w14:paraId="45583437" w14:textId="65D72882" w:rsidR="000B28E1" w:rsidRPr="00277BEC" w:rsidRDefault="00A518E3" w:rsidP="00382857">
      <w:pPr>
        <w:jc w:val="left"/>
        <w:rPr>
          <w:rFonts w:ascii="Arial" w:hAnsi="Arial" w:cs="Arial"/>
        </w:rPr>
      </w:pPr>
      <w:r w:rsidRPr="00277BEC">
        <w:rPr>
          <w:rFonts w:ascii="Arial" w:hAnsi="Arial" w:cs="Arial"/>
        </w:rPr>
        <w:t>The d</w:t>
      </w:r>
      <w:r w:rsidR="000B28E1" w:rsidRPr="00277BEC">
        <w:rPr>
          <w:rFonts w:ascii="Arial" w:hAnsi="Arial" w:cs="Arial"/>
        </w:rPr>
        <w:t xml:space="preserve">istributions of </w:t>
      </w:r>
      <w:r w:rsidRPr="00277BEC">
        <w:rPr>
          <w:rFonts w:ascii="Arial" w:hAnsi="Arial" w:cs="Arial"/>
        </w:rPr>
        <w:t xml:space="preserve">the </w:t>
      </w:r>
      <w:r w:rsidR="000B28E1" w:rsidRPr="00277BEC">
        <w:rPr>
          <w:rFonts w:ascii="Arial" w:hAnsi="Arial" w:cs="Arial"/>
        </w:rPr>
        <w:t xml:space="preserve">tertiary </w:t>
      </w:r>
      <w:r w:rsidR="002E1C0E" w:rsidRPr="00277BEC">
        <w:rPr>
          <w:rFonts w:ascii="Arial" w:hAnsi="Arial" w:cs="Arial"/>
        </w:rPr>
        <w:t>cohort</w:t>
      </w:r>
      <w:r w:rsidRPr="00277BEC">
        <w:rPr>
          <w:rFonts w:ascii="Arial" w:hAnsi="Arial" w:cs="Arial"/>
        </w:rPr>
        <w:t xml:space="preserve"> </w:t>
      </w:r>
      <w:r w:rsidR="000B28E1" w:rsidRPr="00277BEC">
        <w:rPr>
          <w:rFonts w:ascii="Arial" w:hAnsi="Arial" w:cs="Arial"/>
        </w:rPr>
        <w:t xml:space="preserve">on the reading and numeracy scales </w:t>
      </w:r>
      <w:r w:rsidR="00747C3A" w:rsidRPr="00277BEC">
        <w:rPr>
          <w:rFonts w:ascii="Arial" w:hAnsi="Arial" w:cs="Arial"/>
        </w:rPr>
        <w:t xml:space="preserve">of the Assessment Tool </w:t>
      </w:r>
      <w:r w:rsidR="00EC437B" w:rsidRPr="00277BEC">
        <w:rPr>
          <w:rFonts w:ascii="Arial" w:hAnsi="Arial" w:cs="Arial"/>
        </w:rPr>
        <w:t xml:space="preserve">were explored, and the results </w:t>
      </w:r>
      <w:r w:rsidR="000B28E1" w:rsidRPr="00277BEC">
        <w:rPr>
          <w:rFonts w:ascii="Arial" w:hAnsi="Arial" w:cs="Arial"/>
        </w:rPr>
        <w:t xml:space="preserve">are concerning. Those who have met the literacy and numeracy requirements for NCEA are distributed similarly to </w:t>
      </w:r>
      <w:r w:rsidR="00EC437B" w:rsidRPr="00277BEC">
        <w:rPr>
          <w:rFonts w:ascii="Arial" w:hAnsi="Arial" w:cs="Arial"/>
        </w:rPr>
        <w:t xml:space="preserve">the </w:t>
      </w:r>
      <w:r w:rsidR="000A1A43">
        <w:rPr>
          <w:rFonts w:ascii="Arial" w:hAnsi="Arial" w:cs="Arial"/>
        </w:rPr>
        <w:t>Y</w:t>
      </w:r>
      <w:r w:rsidR="000F11C5" w:rsidRPr="00277BEC">
        <w:rPr>
          <w:rFonts w:ascii="Arial" w:hAnsi="Arial" w:cs="Arial"/>
        </w:rPr>
        <w:t>ear</w:t>
      </w:r>
      <w:r w:rsidR="000B28E1" w:rsidRPr="00277BEC">
        <w:rPr>
          <w:rFonts w:ascii="Arial" w:hAnsi="Arial" w:cs="Arial"/>
        </w:rPr>
        <w:t xml:space="preserve"> 11 students </w:t>
      </w:r>
      <w:r w:rsidR="00EC437B" w:rsidRPr="00277BEC">
        <w:rPr>
          <w:rFonts w:ascii="Arial" w:hAnsi="Arial" w:cs="Arial"/>
        </w:rPr>
        <w:t xml:space="preserve">in the school sample </w:t>
      </w:r>
      <w:r w:rsidR="000B28E1" w:rsidRPr="00277BEC">
        <w:rPr>
          <w:rFonts w:ascii="Arial" w:hAnsi="Arial" w:cs="Arial"/>
        </w:rPr>
        <w:t xml:space="preserve">who attained NCEA Level 1 on the reading and numeracy scales respectively, with </w:t>
      </w:r>
      <w:r w:rsidR="00D71DDD" w:rsidRPr="00277BEC">
        <w:rPr>
          <w:rFonts w:ascii="Arial" w:hAnsi="Arial" w:cs="Arial"/>
        </w:rPr>
        <w:t xml:space="preserve">very close to half of each group performing at </w:t>
      </w:r>
      <w:r w:rsidR="00D81A0A" w:rsidRPr="00277BEC">
        <w:rPr>
          <w:rFonts w:ascii="Arial" w:hAnsi="Arial" w:cs="Arial"/>
        </w:rPr>
        <w:t>the literacy and numeracy benchmarks</w:t>
      </w:r>
      <w:r w:rsidR="000B28E1" w:rsidRPr="00277BEC">
        <w:rPr>
          <w:rFonts w:ascii="Arial" w:hAnsi="Arial" w:cs="Arial"/>
        </w:rPr>
        <w:t>.</w:t>
      </w:r>
      <w:r w:rsidRPr="00277BEC">
        <w:rPr>
          <w:rFonts w:ascii="Arial" w:hAnsi="Arial" w:cs="Arial"/>
        </w:rPr>
        <w:t xml:space="preserve"> Tertiary students without the NCEA literacy and numeracy requirements are distributed similarly to the </w:t>
      </w:r>
      <w:r w:rsidR="00F90835">
        <w:rPr>
          <w:rFonts w:ascii="Arial" w:hAnsi="Arial" w:cs="Arial"/>
        </w:rPr>
        <w:t>Y</w:t>
      </w:r>
      <w:r w:rsidR="000F11C5" w:rsidRPr="00277BEC">
        <w:rPr>
          <w:rFonts w:ascii="Arial" w:hAnsi="Arial" w:cs="Arial"/>
        </w:rPr>
        <w:t>ear</w:t>
      </w:r>
      <w:r w:rsidRPr="00277BEC">
        <w:rPr>
          <w:rFonts w:ascii="Arial" w:hAnsi="Arial" w:cs="Arial"/>
        </w:rPr>
        <w:t xml:space="preserve"> 8 sample on the respective scales, with just one quarter performing at </w:t>
      </w:r>
      <w:r w:rsidR="00D81A0A" w:rsidRPr="00277BEC">
        <w:rPr>
          <w:rFonts w:ascii="Arial" w:hAnsi="Arial" w:cs="Arial"/>
        </w:rPr>
        <w:t>the literacy and numeracy benchmarks</w:t>
      </w:r>
      <w:r w:rsidRPr="00277BEC">
        <w:rPr>
          <w:rFonts w:ascii="Arial" w:hAnsi="Arial" w:cs="Arial"/>
        </w:rPr>
        <w:t>.</w:t>
      </w:r>
    </w:p>
    <w:p w14:paraId="1741B77B" w14:textId="0A39E71C" w:rsidR="00C60978" w:rsidRPr="00277BEC" w:rsidRDefault="00A518E3" w:rsidP="00CF53F0">
      <w:pPr>
        <w:jc w:val="left"/>
        <w:rPr>
          <w:rFonts w:ascii="Arial" w:hAnsi="Arial" w:cs="Arial"/>
        </w:rPr>
      </w:pPr>
      <w:r w:rsidRPr="00277BEC">
        <w:rPr>
          <w:rFonts w:ascii="Arial" w:hAnsi="Arial" w:cs="Arial"/>
        </w:rPr>
        <w:t>No formal recommendations were made in the report, but some suggestions to consider</w:t>
      </w:r>
      <w:r w:rsidR="00E413DB" w:rsidRPr="00277BEC">
        <w:rPr>
          <w:rFonts w:ascii="Arial" w:hAnsi="Arial" w:cs="Arial"/>
        </w:rPr>
        <w:t xml:space="preserve"> were put forward</w:t>
      </w:r>
      <w:r w:rsidRPr="00277BEC">
        <w:rPr>
          <w:rFonts w:ascii="Arial" w:hAnsi="Arial" w:cs="Arial"/>
        </w:rPr>
        <w:t>.</w:t>
      </w:r>
      <w:r w:rsidR="00E413DB" w:rsidRPr="00277BEC">
        <w:rPr>
          <w:rFonts w:ascii="Arial" w:hAnsi="Arial" w:cs="Arial"/>
        </w:rPr>
        <w:t xml:space="preserve"> These include: </w:t>
      </w:r>
      <w:r w:rsidR="00983CD4" w:rsidRPr="00277BEC">
        <w:rPr>
          <w:rFonts w:ascii="Arial" w:hAnsi="Arial" w:cs="Arial"/>
        </w:rPr>
        <w:t xml:space="preserve">(1) confirmation of the minimum levels of literacy and numeracy </w:t>
      </w:r>
      <w:r w:rsidR="006668FB" w:rsidRPr="00277BEC">
        <w:rPr>
          <w:rFonts w:ascii="Arial" w:hAnsi="Arial" w:cs="Arial"/>
        </w:rPr>
        <w:t xml:space="preserve">required by </w:t>
      </w:r>
      <w:r w:rsidR="00983CD4" w:rsidRPr="00277BEC">
        <w:rPr>
          <w:rFonts w:ascii="Arial" w:hAnsi="Arial" w:cs="Arial"/>
        </w:rPr>
        <w:t xml:space="preserve">New Zealand adults to </w:t>
      </w:r>
      <w:r w:rsidR="00D81A0A" w:rsidRPr="00277BEC">
        <w:rPr>
          <w:rFonts w:ascii="Arial" w:hAnsi="Arial" w:cs="Arial"/>
        </w:rPr>
        <w:t xml:space="preserve">operate in an </w:t>
      </w:r>
      <w:r w:rsidR="00A368A5" w:rsidRPr="00277BEC">
        <w:rPr>
          <w:rFonts w:ascii="Arial" w:hAnsi="Arial" w:cs="Arial"/>
        </w:rPr>
        <w:t>information-rich</w:t>
      </w:r>
      <w:r w:rsidR="00D81A0A" w:rsidRPr="00277BEC">
        <w:rPr>
          <w:rFonts w:ascii="Arial" w:hAnsi="Arial" w:cs="Arial"/>
        </w:rPr>
        <w:t xml:space="preserve"> society</w:t>
      </w:r>
      <w:r w:rsidR="00983CD4" w:rsidRPr="00277BEC">
        <w:rPr>
          <w:rFonts w:ascii="Arial" w:hAnsi="Arial" w:cs="Arial"/>
        </w:rPr>
        <w:t xml:space="preserve">; </w:t>
      </w:r>
      <w:r w:rsidR="0061303F" w:rsidRPr="00277BEC">
        <w:rPr>
          <w:rFonts w:ascii="Arial" w:hAnsi="Arial" w:cs="Arial"/>
        </w:rPr>
        <w:t>(2) ensur</w:t>
      </w:r>
      <w:r w:rsidR="006668FB" w:rsidRPr="00277BEC">
        <w:rPr>
          <w:rFonts w:ascii="Arial" w:hAnsi="Arial" w:cs="Arial"/>
        </w:rPr>
        <w:t>ing</w:t>
      </w:r>
      <w:r w:rsidR="0061303F" w:rsidRPr="00277BEC">
        <w:rPr>
          <w:rFonts w:ascii="Arial" w:hAnsi="Arial" w:cs="Arial"/>
        </w:rPr>
        <w:t xml:space="preserve"> any requirement is properly and rigorously assessed </w:t>
      </w:r>
      <w:r w:rsidR="00396478" w:rsidRPr="00277BEC">
        <w:rPr>
          <w:rFonts w:ascii="Arial" w:hAnsi="Arial" w:cs="Arial"/>
        </w:rPr>
        <w:t>(3</w:t>
      </w:r>
      <w:r w:rsidR="00983CD4" w:rsidRPr="00277BEC">
        <w:rPr>
          <w:rFonts w:ascii="Arial" w:hAnsi="Arial" w:cs="Arial"/>
        </w:rPr>
        <w:t xml:space="preserve">) </w:t>
      </w:r>
      <w:r w:rsidR="00EA6C7C" w:rsidRPr="00277BEC">
        <w:rPr>
          <w:rFonts w:ascii="Arial" w:hAnsi="Arial" w:cs="Arial"/>
        </w:rPr>
        <w:t>credentialing</w:t>
      </w:r>
      <w:r w:rsidR="00983CD4" w:rsidRPr="00277BEC">
        <w:rPr>
          <w:rFonts w:ascii="Arial" w:hAnsi="Arial" w:cs="Arial"/>
        </w:rPr>
        <w:t xml:space="preserve"> literacy and numeracy </w:t>
      </w:r>
      <w:r w:rsidR="00CB56E1" w:rsidRPr="00277BEC">
        <w:rPr>
          <w:rFonts w:ascii="Arial" w:hAnsi="Arial" w:cs="Arial"/>
        </w:rPr>
        <w:t>independently</w:t>
      </w:r>
      <w:r w:rsidR="00983CD4" w:rsidRPr="00277BEC">
        <w:rPr>
          <w:rFonts w:ascii="Arial" w:hAnsi="Arial" w:cs="Arial"/>
        </w:rPr>
        <w:t xml:space="preserve"> from</w:t>
      </w:r>
      <w:r w:rsidR="00396478" w:rsidRPr="00277BEC">
        <w:rPr>
          <w:rFonts w:ascii="Arial" w:hAnsi="Arial" w:cs="Arial"/>
        </w:rPr>
        <w:t xml:space="preserve"> qualifications; (4</w:t>
      </w:r>
      <w:r w:rsidR="00983CD4" w:rsidRPr="00277BEC">
        <w:rPr>
          <w:rFonts w:ascii="Arial" w:hAnsi="Arial" w:cs="Arial"/>
        </w:rPr>
        <w:t xml:space="preserve">) the introduction of formal requirements for literacy and numeracy to be met by the end of </w:t>
      </w:r>
      <w:r w:rsidR="00F90835">
        <w:rPr>
          <w:rFonts w:ascii="Arial" w:hAnsi="Arial" w:cs="Arial"/>
        </w:rPr>
        <w:t>Y</w:t>
      </w:r>
      <w:r w:rsidR="000F11C5" w:rsidRPr="00277BEC">
        <w:rPr>
          <w:rFonts w:ascii="Arial" w:hAnsi="Arial" w:cs="Arial"/>
        </w:rPr>
        <w:t>ear</w:t>
      </w:r>
      <w:r w:rsidR="00BA164F" w:rsidRPr="00277BEC">
        <w:rPr>
          <w:rFonts w:ascii="Arial" w:hAnsi="Arial" w:cs="Arial"/>
        </w:rPr>
        <w:t xml:space="preserve"> 10, prior to</w:t>
      </w:r>
      <w:r w:rsidR="00983CD4" w:rsidRPr="00277BEC">
        <w:rPr>
          <w:rFonts w:ascii="Arial" w:hAnsi="Arial" w:cs="Arial"/>
        </w:rPr>
        <w:t xml:space="preserve"> undertaking formal qualifications.</w:t>
      </w:r>
      <w:r w:rsidR="00C60978" w:rsidRPr="00277BEC">
        <w:rPr>
          <w:rFonts w:ascii="Arial" w:hAnsi="Arial" w:cs="Arial"/>
        </w:rPr>
        <w:br w:type="page"/>
      </w:r>
    </w:p>
    <w:p w14:paraId="4F289CDC" w14:textId="77777777" w:rsidR="00942305" w:rsidRPr="00277BEC" w:rsidRDefault="00942305" w:rsidP="001B44DE">
      <w:pPr>
        <w:pStyle w:val="Heading1"/>
        <w:rPr>
          <w:rFonts w:cs="Arial"/>
        </w:rPr>
      </w:pPr>
      <w:bookmarkStart w:id="10" w:name="_Toc264282831"/>
      <w:bookmarkStart w:id="11" w:name="_Toc417920173"/>
      <w:bookmarkStart w:id="12" w:name="_Toc262207811"/>
      <w:bookmarkStart w:id="13" w:name="_Toc262207905"/>
      <w:r w:rsidRPr="00277BEC">
        <w:rPr>
          <w:rFonts w:cs="Arial"/>
        </w:rPr>
        <w:lastRenderedPageBreak/>
        <w:t>Background</w:t>
      </w:r>
      <w:bookmarkEnd w:id="10"/>
      <w:bookmarkEnd w:id="11"/>
    </w:p>
    <w:p w14:paraId="64168015" w14:textId="77777777" w:rsidR="00942305" w:rsidRPr="00277BEC" w:rsidRDefault="00942305" w:rsidP="001B44DE">
      <w:pPr>
        <w:pStyle w:val="Heading2"/>
        <w:rPr>
          <w:rFonts w:cs="Arial"/>
        </w:rPr>
      </w:pPr>
      <w:bookmarkStart w:id="14" w:name="_Toc264282832"/>
      <w:bookmarkStart w:id="15" w:name="_Toc417920174"/>
      <w:r w:rsidRPr="00277BEC">
        <w:rPr>
          <w:rFonts w:cs="Arial"/>
        </w:rPr>
        <w:t>Introduction</w:t>
      </w:r>
      <w:bookmarkEnd w:id="14"/>
      <w:bookmarkEnd w:id="15"/>
    </w:p>
    <w:p w14:paraId="4E3C8F81" w14:textId="6A63D584" w:rsidR="00942305" w:rsidRPr="00277BEC" w:rsidRDefault="00942305" w:rsidP="00F90835">
      <w:pPr>
        <w:pStyle w:val="BodyText"/>
        <w:jc w:val="left"/>
        <w:rPr>
          <w:rFonts w:ascii="Arial" w:hAnsi="Arial" w:cs="Arial"/>
        </w:rPr>
      </w:pPr>
      <w:r w:rsidRPr="00277BEC">
        <w:rPr>
          <w:rFonts w:ascii="Arial" w:hAnsi="Arial" w:cs="Arial"/>
        </w:rPr>
        <w:t>A certain level of competenc</w:t>
      </w:r>
      <w:r w:rsidR="00D04860" w:rsidRPr="00277BEC">
        <w:rPr>
          <w:rFonts w:ascii="Arial" w:hAnsi="Arial" w:cs="Arial"/>
        </w:rPr>
        <w:t>e</w:t>
      </w:r>
      <w:r w:rsidRPr="00277BEC">
        <w:rPr>
          <w:rFonts w:ascii="Arial" w:hAnsi="Arial" w:cs="Arial"/>
        </w:rPr>
        <w:t xml:space="preserve"> in literacy and numeracy is </w:t>
      </w:r>
      <w:r w:rsidR="00D81A0A" w:rsidRPr="00277BEC">
        <w:rPr>
          <w:rFonts w:ascii="Arial" w:hAnsi="Arial" w:cs="Arial"/>
        </w:rPr>
        <w:t>needed</w:t>
      </w:r>
      <w:r w:rsidRPr="00277BEC">
        <w:rPr>
          <w:rFonts w:ascii="Arial" w:hAnsi="Arial" w:cs="Arial"/>
        </w:rPr>
        <w:t xml:space="preserve"> for peopl</w:t>
      </w:r>
      <w:r w:rsidR="00CB56E1" w:rsidRPr="00277BEC">
        <w:rPr>
          <w:rFonts w:ascii="Arial" w:hAnsi="Arial" w:cs="Arial"/>
        </w:rPr>
        <w:t xml:space="preserve">e to participate fully in </w:t>
      </w:r>
      <w:r w:rsidR="00A368A5" w:rsidRPr="00277BEC">
        <w:rPr>
          <w:rFonts w:ascii="Arial" w:hAnsi="Arial" w:cs="Arial"/>
        </w:rPr>
        <w:t>information-rich</w:t>
      </w:r>
      <w:r w:rsidR="00D81A0A" w:rsidRPr="00277BEC">
        <w:rPr>
          <w:rFonts w:ascii="Arial" w:hAnsi="Arial" w:cs="Arial"/>
        </w:rPr>
        <w:t xml:space="preserve"> societies</w:t>
      </w:r>
      <w:r w:rsidR="00F90835">
        <w:rPr>
          <w:rFonts w:ascii="Arial" w:hAnsi="Arial" w:cs="Arial"/>
        </w:rPr>
        <w:t>,</w:t>
      </w:r>
      <w:r w:rsidR="00F77A73" w:rsidRPr="00277BEC">
        <w:rPr>
          <w:rFonts w:ascii="Arial" w:hAnsi="Arial" w:cs="Arial"/>
        </w:rPr>
        <w:t xml:space="preserve"> </w:t>
      </w:r>
      <w:r w:rsidRPr="00277BEC">
        <w:rPr>
          <w:rFonts w:ascii="Arial" w:hAnsi="Arial" w:cs="Arial"/>
        </w:rPr>
        <w:t>and the development of these skills is a priority across the compulsory sector</w:t>
      </w:r>
      <w:r w:rsidR="007A2F7D" w:rsidRPr="00277BEC">
        <w:rPr>
          <w:rFonts w:ascii="Arial" w:hAnsi="Arial" w:cs="Arial"/>
        </w:rPr>
        <w:t xml:space="preserve">. </w:t>
      </w:r>
      <w:r w:rsidR="00AE6A14" w:rsidRPr="00277BEC">
        <w:rPr>
          <w:rFonts w:ascii="Arial" w:hAnsi="Arial" w:cs="Arial"/>
        </w:rPr>
        <w:t xml:space="preserve">Adults with low levels of </w:t>
      </w:r>
      <w:r w:rsidRPr="00277BEC">
        <w:rPr>
          <w:rFonts w:ascii="Arial" w:hAnsi="Arial" w:cs="Arial"/>
        </w:rPr>
        <w:t>literacy and numeracy skills</w:t>
      </w:r>
      <w:r w:rsidR="00AE6A14" w:rsidRPr="00277BEC">
        <w:rPr>
          <w:rFonts w:ascii="Arial" w:hAnsi="Arial" w:cs="Arial"/>
        </w:rPr>
        <w:t xml:space="preserve"> </w:t>
      </w:r>
      <w:r w:rsidRPr="00277BEC">
        <w:rPr>
          <w:rFonts w:ascii="Arial" w:hAnsi="Arial" w:cs="Arial"/>
        </w:rPr>
        <w:t xml:space="preserve">face limitations in their work, community and home lives, including finding and keeping a job and supporting their children’s learning. </w:t>
      </w:r>
    </w:p>
    <w:p w14:paraId="045A1498" w14:textId="77777777" w:rsidR="00942305" w:rsidRPr="00277BEC" w:rsidRDefault="00942305" w:rsidP="00F90835">
      <w:pPr>
        <w:pStyle w:val="BodyText"/>
        <w:jc w:val="left"/>
        <w:rPr>
          <w:rFonts w:ascii="Arial" w:hAnsi="Arial" w:cs="Arial"/>
        </w:rPr>
      </w:pPr>
      <w:r w:rsidRPr="00277BEC">
        <w:rPr>
          <w:rFonts w:ascii="Arial" w:hAnsi="Arial" w:cs="Arial"/>
        </w:rPr>
        <w:t>Raising the literacy and numeracy skills of New Zealanders not only helps the prospects of individuals but it also leads to a more productive workforce. As workplaces become more dynamic and increasingly te</w:t>
      </w:r>
      <w:r w:rsidR="00366ED6" w:rsidRPr="00277BEC">
        <w:rPr>
          <w:rFonts w:ascii="Arial" w:hAnsi="Arial" w:cs="Arial"/>
        </w:rPr>
        <w:t>chnology-based</w:t>
      </w:r>
      <w:r w:rsidR="00F77A73" w:rsidRPr="00277BEC">
        <w:rPr>
          <w:rFonts w:ascii="Arial" w:hAnsi="Arial" w:cs="Arial"/>
        </w:rPr>
        <w:t>,</w:t>
      </w:r>
      <w:r w:rsidR="00366ED6" w:rsidRPr="00277BEC">
        <w:rPr>
          <w:rFonts w:ascii="Arial" w:hAnsi="Arial" w:cs="Arial"/>
        </w:rPr>
        <w:t xml:space="preserve"> individuals need</w:t>
      </w:r>
      <w:r w:rsidRPr="00277BEC">
        <w:rPr>
          <w:rFonts w:ascii="Arial" w:hAnsi="Arial" w:cs="Arial"/>
        </w:rPr>
        <w:t xml:space="preserve"> to have stronger basic skills, especially in literacy and numeracy, to maintain sustainable careers (</w:t>
      </w:r>
      <w:r w:rsidR="00660533" w:rsidRPr="00277BEC">
        <w:rPr>
          <w:rFonts w:ascii="Arial" w:hAnsi="Arial" w:cs="Arial"/>
        </w:rPr>
        <w:t>Ministry of Education,</w:t>
      </w:r>
      <w:r w:rsidRPr="00277BEC">
        <w:rPr>
          <w:rFonts w:ascii="Arial" w:hAnsi="Arial" w:cs="Arial"/>
        </w:rPr>
        <w:t xml:space="preserve"> 2014)</w:t>
      </w:r>
      <w:r w:rsidR="007A2F7D" w:rsidRPr="00277BEC">
        <w:rPr>
          <w:rFonts w:ascii="Arial" w:hAnsi="Arial" w:cs="Arial"/>
        </w:rPr>
        <w:t xml:space="preserve">. </w:t>
      </w:r>
    </w:p>
    <w:p w14:paraId="0ED4BEB3" w14:textId="05E55C43" w:rsidR="00942305" w:rsidRPr="00277BEC" w:rsidRDefault="00942305" w:rsidP="00F90835">
      <w:pPr>
        <w:pStyle w:val="BodyText"/>
        <w:jc w:val="left"/>
        <w:rPr>
          <w:rFonts w:ascii="Arial" w:hAnsi="Arial" w:cs="Arial"/>
        </w:rPr>
      </w:pPr>
      <w:r w:rsidRPr="00277BEC">
        <w:rPr>
          <w:rFonts w:ascii="Arial" w:hAnsi="Arial" w:cs="Arial"/>
        </w:rPr>
        <w:t xml:space="preserve">Education plays an important role in providing young people with the key skills and competencies they need for further learning or to enter the workforce. This is one of the reasons why the Government introduced the Better Public Services </w:t>
      </w:r>
      <w:r w:rsidR="007A3E54" w:rsidRPr="00277BEC">
        <w:rPr>
          <w:rFonts w:ascii="Arial" w:hAnsi="Arial" w:cs="Arial"/>
        </w:rPr>
        <w:t xml:space="preserve">(BPS) </w:t>
      </w:r>
      <w:r w:rsidRPr="00277BEC">
        <w:rPr>
          <w:rFonts w:ascii="Arial" w:hAnsi="Arial" w:cs="Arial"/>
        </w:rPr>
        <w:t>target of 85</w:t>
      </w:r>
      <w:r w:rsidR="00F90835">
        <w:rPr>
          <w:rFonts w:ascii="Arial" w:hAnsi="Arial" w:cs="Arial"/>
        </w:rPr>
        <w:t xml:space="preserve"> percent</w:t>
      </w:r>
      <w:r w:rsidRPr="00277BEC">
        <w:rPr>
          <w:rFonts w:ascii="Arial" w:hAnsi="Arial" w:cs="Arial"/>
        </w:rPr>
        <w:t xml:space="preserve"> of 18</w:t>
      </w:r>
      <w:r w:rsidR="00F90835">
        <w:rPr>
          <w:rFonts w:ascii="Arial" w:hAnsi="Arial" w:cs="Arial"/>
        </w:rPr>
        <w:t>-</w:t>
      </w:r>
      <w:r w:rsidRPr="00277BEC">
        <w:rPr>
          <w:rFonts w:ascii="Arial" w:hAnsi="Arial" w:cs="Arial"/>
        </w:rPr>
        <w:t>year</w:t>
      </w:r>
      <w:r w:rsidR="00F90835">
        <w:rPr>
          <w:rFonts w:ascii="Arial" w:hAnsi="Arial" w:cs="Arial"/>
        </w:rPr>
        <w:t>-</w:t>
      </w:r>
      <w:r w:rsidRPr="00277BEC">
        <w:rPr>
          <w:rFonts w:ascii="Arial" w:hAnsi="Arial" w:cs="Arial"/>
        </w:rPr>
        <w:t>olds achieving N</w:t>
      </w:r>
      <w:r w:rsidR="001B0891" w:rsidRPr="00277BEC">
        <w:rPr>
          <w:rFonts w:ascii="Arial" w:hAnsi="Arial" w:cs="Arial"/>
        </w:rPr>
        <w:t>CEA L</w:t>
      </w:r>
      <w:r w:rsidRPr="00277BEC">
        <w:rPr>
          <w:rFonts w:ascii="Arial" w:hAnsi="Arial" w:cs="Arial"/>
        </w:rPr>
        <w:t>evel 2 or equivalent qualifications</w:t>
      </w:r>
      <w:r w:rsidR="000A51CB" w:rsidRPr="00277BEC">
        <w:rPr>
          <w:rFonts w:ascii="Arial" w:hAnsi="Arial" w:cs="Arial"/>
        </w:rPr>
        <w:t xml:space="preserve"> (Ministry of Education, 2014b)</w:t>
      </w:r>
      <w:r w:rsidR="007A2F7D" w:rsidRPr="00277BEC">
        <w:rPr>
          <w:rFonts w:ascii="Arial" w:hAnsi="Arial" w:cs="Arial"/>
        </w:rPr>
        <w:t xml:space="preserve">. </w:t>
      </w:r>
      <w:r w:rsidRPr="00277BEC">
        <w:rPr>
          <w:rFonts w:ascii="Arial" w:hAnsi="Arial" w:cs="Arial"/>
        </w:rPr>
        <w:t xml:space="preserve">Embedded within NCEA </w:t>
      </w:r>
      <w:r w:rsidR="000A51CB" w:rsidRPr="00277BEC">
        <w:rPr>
          <w:rFonts w:ascii="Arial" w:hAnsi="Arial" w:cs="Arial"/>
        </w:rPr>
        <w:t>qualifications is</w:t>
      </w:r>
      <w:r w:rsidRPr="00277BEC">
        <w:rPr>
          <w:rFonts w:ascii="Arial" w:hAnsi="Arial" w:cs="Arial"/>
        </w:rPr>
        <w:t xml:space="preserve"> a requirement to obtain a minimum number of literacy and numeracy credits.</w:t>
      </w:r>
    </w:p>
    <w:p w14:paraId="12A48457" w14:textId="1CCAA809" w:rsidR="00942305" w:rsidRPr="00277BEC" w:rsidRDefault="007B5B2F" w:rsidP="00F90835">
      <w:pPr>
        <w:jc w:val="left"/>
        <w:rPr>
          <w:rFonts w:ascii="Arial" w:hAnsi="Arial" w:cs="Arial"/>
        </w:rPr>
      </w:pPr>
      <w:r w:rsidRPr="00277BEC">
        <w:rPr>
          <w:rFonts w:ascii="Arial" w:hAnsi="Arial" w:cs="Arial"/>
        </w:rPr>
        <w:t>Two requirements need to be met in order to increase the proportion of adult New Zealanders with the literacy and numeracy skills required to cope with the demands of everyday life and work in a complex, advanced society. These are, first, an effective mechanism for identifying people whose literacy and numeracy skills are below an identified minimum, and, second, a strategy to support these people to strengthen their skills. This project is focused on the former</w:t>
      </w:r>
      <w:r w:rsidR="00F90835">
        <w:rPr>
          <w:rFonts w:ascii="Arial" w:hAnsi="Arial" w:cs="Arial"/>
        </w:rPr>
        <w:t>,</w:t>
      </w:r>
      <w:r w:rsidRPr="00277BEC">
        <w:rPr>
          <w:rFonts w:ascii="Arial" w:hAnsi="Arial" w:cs="Arial"/>
        </w:rPr>
        <w:t xml:space="preserve"> and </w:t>
      </w:r>
      <w:r w:rsidR="00942305" w:rsidRPr="00277BEC">
        <w:rPr>
          <w:rFonts w:ascii="Arial" w:hAnsi="Arial" w:cs="Arial"/>
        </w:rPr>
        <w:t xml:space="preserve">explores the relationships between </w:t>
      </w:r>
      <w:r w:rsidR="004E5D8C" w:rsidRPr="00277BEC">
        <w:rPr>
          <w:rFonts w:ascii="Arial" w:hAnsi="Arial" w:cs="Arial"/>
        </w:rPr>
        <w:t>four</w:t>
      </w:r>
      <w:r w:rsidR="00942305" w:rsidRPr="00277BEC">
        <w:rPr>
          <w:rFonts w:ascii="Arial" w:hAnsi="Arial" w:cs="Arial"/>
        </w:rPr>
        <w:t xml:space="preserve"> different measures of literacy and numeracy in </w:t>
      </w:r>
      <w:r w:rsidRPr="00277BEC">
        <w:rPr>
          <w:rFonts w:ascii="Arial" w:hAnsi="Arial" w:cs="Arial"/>
        </w:rPr>
        <w:t>New Zealand. These measures</w:t>
      </w:r>
      <w:r w:rsidR="00942305" w:rsidRPr="00277BEC">
        <w:rPr>
          <w:rFonts w:ascii="Arial" w:hAnsi="Arial" w:cs="Arial"/>
        </w:rPr>
        <w:t xml:space="preserve"> </w:t>
      </w:r>
      <w:r w:rsidRPr="00277BEC">
        <w:rPr>
          <w:rFonts w:ascii="Arial" w:hAnsi="Arial" w:cs="Arial"/>
        </w:rPr>
        <w:t xml:space="preserve">are the Adult Literacy and Life Skills (ALL) survey, </w:t>
      </w:r>
      <w:r w:rsidR="00942305" w:rsidRPr="00277BEC">
        <w:rPr>
          <w:rFonts w:ascii="Arial" w:hAnsi="Arial" w:cs="Arial"/>
        </w:rPr>
        <w:t>the Literacy and Numeracy for Adults Assessment Tool</w:t>
      </w:r>
      <w:r w:rsidR="004E5D8C" w:rsidRPr="00277BEC">
        <w:rPr>
          <w:rFonts w:ascii="Arial" w:hAnsi="Arial" w:cs="Arial"/>
        </w:rPr>
        <w:t xml:space="preserve"> (Assessment Tool)</w:t>
      </w:r>
      <w:r w:rsidR="00942305" w:rsidRPr="00277BEC">
        <w:rPr>
          <w:rFonts w:ascii="Arial" w:hAnsi="Arial" w:cs="Arial"/>
        </w:rPr>
        <w:t>, the literacy and</w:t>
      </w:r>
      <w:r w:rsidR="004E5D8C" w:rsidRPr="00277BEC">
        <w:rPr>
          <w:rFonts w:ascii="Arial" w:hAnsi="Arial" w:cs="Arial"/>
        </w:rPr>
        <w:t xml:space="preserve"> numeracy requirements for NCEA and the New Zealand Curriculum National Standards (National Standards).</w:t>
      </w:r>
    </w:p>
    <w:p w14:paraId="4C75B0A2" w14:textId="77777777" w:rsidR="00942305" w:rsidRPr="00277BEC" w:rsidRDefault="00942305" w:rsidP="00F90835">
      <w:pPr>
        <w:pStyle w:val="Heading2"/>
        <w:jc w:val="left"/>
        <w:rPr>
          <w:rFonts w:cs="Arial"/>
        </w:rPr>
      </w:pPr>
      <w:bookmarkStart w:id="16" w:name="_Toc264282833"/>
      <w:bookmarkStart w:id="17" w:name="_Toc417920175"/>
      <w:r w:rsidRPr="00277BEC">
        <w:rPr>
          <w:rFonts w:cs="Arial"/>
        </w:rPr>
        <w:t>The measures</w:t>
      </w:r>
      <w:bookmarkEnd w:id="16"/>
      <w:bookmarkEnd w:id="17"/>
    </w:p>
    <w:p w14:paraId="5A060513" w14:textId="77777777" w:rsidR="004E5D8C" w:rsidRPr="00277BEC" w:rsidRDefault="004E5D8C" w:rsidP="00F90835">
      <w:pPr>
        <w:pStyle w:val="Heading3"/>
        <w:jc w:val="left"/>
        <w:rPr>
          <w:rFonts w:cs="Arial"/>
        </w:rPr>
      </w:pPr>
      <w:bookmarkStart w:id="18" w:name="_Toc264282834"/>
      <w:r w:rsidRPr="00277BEC">
        <w:rPr>
          <w:rFonts w:cs="Arial"/>
        </w:rPr>
        <w:t>The ALL survey</w:t>
      </w:r>
      <w:bookmarkEnd w:id="18"/>
    </w:p>
    <w:p w14:paraId="33FD9C05" w14:textId="3BA81533" w:rsidR="00942305" w:rsidRPr="00277BEC" w:rsidRDefault="003708DE" w:rsidP="00F90835">
      <w:pPr>
        <w:pStyle w:val="BodyText"/>
        <w:jc w:val="left"/>
        <w:rPr>
          <w:rFonts w:ascii="Arial" w:hAnsi="Arial" w:cs="Arial"/>
        </w:rPr>
      </w:pPr>
      <w:r w:rsidRPr="00277BEC">
        <w:rPr>
          <w:rFonts w:ascii="Arial" w:hAnsi="Arial" w:cs="Arial"/>
        </w:rPr>
        <w:t>The ALL</w:t>
      </w:r>
      <w:r w:rsidR="00942305" w:rsidRPr="00277BEC">
        <w:rPr>
          <w:rFonts w:ascii="Arial" w:hAnsi="Arial" w:cs="Arial"/>
        </w:rPr>
        <w:t xml:space="preserve"> survey was an international survey of literacy, numeracy and problem</w:t>
      </w:r>
      <w:r w:rsidR="000C0266">
        <w:rPr>
          <w:rFonts w:ascii="Arial" w:hAnsi="Arial" w:cs="Arial"/>
        </w:rPr>
        <w:t>-</w:t>
      </w:r>
      <w:r w:rsidR="00942305" w:rsidRPr="00277BEC">
        <w:rPr>
          <w:rFonts w:ascii="Arial" w:hAnsi="Arial" w:cs="Arial"/>
        </w:rPr>
        <w:t xml:space="preserve">solving skills undertaken </w:t>
      </w:r>
      <w:r w:rsidR="00F90835" w:rsidRPr="00277BEC">
        <w:rPr>
          <w:rFonts w:ascii="Arial" w:hAnsi="Arial" w:cs="Arial"/>
        </w:rPr>
        <w:t>in 2006</w:t>
      </w:r>
      <w:r w:rsidR="00F90835">
        <w:rPr>
          <w:rFonts w:ascii="Arial" w:hAnsi="Arial" w:cs="Arial"/>
        </w:rPr>
        <w:t xml:space="preserve"> </w:t>
      </w:r>
      <w:r w:rsidR="00942305" w:rsidRPr="00277BEC">
        <w:rPr>
          <w:rFonts w:ascii="Arial" w:hAnsi="Arial" w:cs="Arial"/>
        </w:rPr>
        <w:t xml:space="preserve">by a representative sample of New Zealanders aged </w:t>
      </w:r>
      <w:r w:rsidR="00CB56E1" w:rsidRPr="00277BEC">
        <w:rPr>
          <w:rFonts w:ascii="Arial" w:hAnsi="Arial" w:cs="Arial"/>
        </w:rPr>
        <w:t>between 16 and 65</w:t>
      </w:r>
      <w:r w:rsidR="007A2F7D" w:rsidRPr="00277BEC">
        <w:rPr>
          <w:rFonts w:ascii="Arial" w:hAnsi="Arial" w:cs="Arial"/>
        </w:rPr>
        <w:t xml:space="preserve">. </w:t>
      </w:r>
      <w:r w:rsidR="00942305" w:rsidRPr="00277BEC">
        <w:rPr>
          <w:rFonts w:ascii="Arial" w:hAnsi="Arial" w:cs="Arial"/>
        </w:rPr>
        <w:t xml:space="preserve">It provided information on the skills of the population, as well as </w:t>
      </w:r>
      <w:r w:rsidR="00880D80" w:rsidRPr="00277BEC">
        <w:rPr>
          <w:rFonts w:ascii="Arial" w:hAnsi="Arial" w:cs="Arial"/>
        </w:rPr>
        <w:t xml:space="preserve">a </w:t>
      </w:r>
      <w:r w:rsidR="00942305" w:rsidRPr="00277BEC">
        <w:rPr>
          <w:rFonts w:ascii="Arial" w:hAnsi="Arial" w:cs="Arial"/>
        </w:rPr>
        <w:t xml:space="preserve">wide range of background information on employment, qualifications and demographic characteristics. The </w:t>
      </w:r>
      <w:r w:rsidR="008809B7" w:rsidRPr="00277BEC">
        <w:rPr>
          <w:rFonts w:ascii="Arial" w:hAnsi="Arial" w:cs="Arial"/>
        </w:rPr>
        <w:t>ALL</w:t>
      </w:r>
      <w:r w:rsidR="00942305" w:rsidRPr="00277BEC">
        <w:rPr>
          <w:rFonts w:ascii="Arial" w:hAnsi="Arial" w:cs="Arial"/>
        </w:rPr>
        <w:t xml:space="preserve"> scale was divided into f</w:t>
      </w:r>
      <w:r w:rsidR="008234DB" w:rsidRPr="00277BEC">
        <w:rPr>
          <w:rFonts w:ascii="Arial" w:hAnsi="Arial" w:cs="Arial"/>
        </w:rPr>
        <w:t>ive levels of proficiency with L</w:t>
      </w:r>
      <w:r w:rsidR="00942305" w:rsidRPr="00277BEC">
        <w:rPr>
          <w:rFonts w:ascii="Arial" w:hAnsi="Arial" w:cs="Arial"/>
        </w:rPr>
        <w:t>evel 3 “deemed as a minimum for persons to understand and use information contained in the increasingly difficult texts and tasks that characteri</w:t>
      </w:r>
      <w:r w:rsidR="00F90835">
        <w:rPr>
          <w:rFonts w:ascii="Arial" w:hAnsi="Arial" w:cs="Arial"/>
        </w:rPr>
        <w:t>s</w:t>
      </w:r>
      <w:r w:rsidR="00942305" w:rsidRPr="00277BEC">
        <w:rPr>
          <w:rFonts w:ascii="Arial" w:hAnsi="Arial" w:cs="Arial"/>
        </w:rPr>
        <w:t>e the emerging knowledge society and information economy”</w:t>
      </w:r>
      <w:r w:rsidR="00F90835">
        <w:rPr>
          <w:rFonts w:ascii="Arial" w:hAnsi="Arial" w:cs="Arial"/>
        </w:rPr>
        <w:t>.</w:t>
      </w:r>
      <w:r w:rsidR="00942305" w:rsidRPr="00277BEC">
        <w:rPr>
          <w:rFonts w:ascii="Arial" w:hAnsi="Arial" w:cs="Arial"/>
        </w:rPr>
        <w:t xml:space="preserve"> </w:t>
      </w:r>
      <w:r w:rsidR="00D71DDD" w:rsidRPr="00277BEC">
        <w:rPr>
          <w:rFonts w:ascii="Arial" w:hAnsi="Arial" w:cs="Arial"/>
        </w:rPr>
        <w:fldChar w:fldCharType="begin" w:fldLock="1"/>
      </w:r>
      <w:r w:rsidR="00942305" w:rsidRPr="00277BEC">
        <w:rPr>
          <w:rFonts w:ascii="Arial" w:hAnsi="Arial" w:cs="Arial"/>
        </w:rPr>
        <w:instrText>ADDIN CSL_CITATION { "citationItems" : [ { "id" : "ITEM-1", "itemData" : { "abstract" : "Learning a Living and Earning Skills, the first report from the Adult Literacy and Life Skills Survey (ALL), presents new evidence on the nature and magnitude of the literacy gaps faced by Organisation for Economic Cooperation and Development (OECD) countries and how these gaps have evolved over the past decade. It offers new insights into the factors that influence the formation and loss of adult skills in various settings \u2013 at home and at work \u2013 for the seven countries participating in the first round of data collection. The study offers the first comparative evidence on the impact of formal adult education and informal learning on the supply of skill. It also provides unique insight into the distribution of information and communication technology skills, and how these have amplified both productivity and wage inequality. Findings point to large differences in the average level and population distribution of skills both within and between countries. Low skills are evident among all adult groups in significant\u2014albeit varying \u2013 proportions. Skills vary substantially even at similar levels of educational attainment. Hence some countries are more successful than others in building skills beyond initial schooling. These differences matter because skills are closely associated with economic life chances and quality of life. Improving skills, particularly among those with real life deficits, remains a large challenge. But policy can make a difference. The evidence shows how some countries have succeeded in building high levels of skill in multiple domains. Others have managed to improve the skills of the entire population. Again others have come close to realizing lifelong learning for all.", "author" : [ { "dropping-particle" : "", "family" : "Statistics Canada", "given" : "", "non-dropping-particle" : "", "parse-names" : false, "suffix" : "" }, { "dropping-particle" : "", "family" : "Organisation for Economic Cooperation and Development", "given" : "", "non-dropping-particle" : "", "parse-names" : false, "suffix" : "" } ], "id" : "ITEM-1", "issued" : { "date-parts" : [ [ "2005" ] ] }, "publisher-place" : "Ottawa and Paris", "title" : "Learning a Living: first results of the adult literacy and life skills survey", "type" : "report" }, "uris" : [ "http://www.mendeley.com/documents/?uuid=a6178fcf-0092-43ba-a659-cd667f8c2828" ] } ], "mendeley" : { "previouslyFormattedCitation" : "(Statistics Canada &amp; Organisation for Economic Cooperation and Development, 2005)" }, "properties" : { "noteIndex" : 0 }, "schema" : "https://github.com/citation-style-language/schema/raw/master/csl-citation.json" }</w:instrText>
      </w:r>
      <w:r w:rsidR="00D71DDD" w:rsidRPr="00277BEC">
        <w:rPr>
          <w:rFonts w:ascii="Arial" w:hAnsi="Arial" w:cs="Arial"/>
        </w:rPr>
        <w:fldChar w:fldCharType="separate"/>
      </w:r>
      <w:proofErr w:type="gramStart"/>
      <w:r w:rsidR="00942305" w:rsidRPr="00277BEC">
        <w:rPr>
          <w:rFonts w:ascii="Arial" w:hAnsi="Arial" w:cs="Arial"/>
        </w:rPr>
        <w:t>(Statistics Canada &amp; Organisation for Economic Cooperation and Development, 2005)</w:t>
      </w:r>
      <w:r w:rsidR="00D71DDD" w:rsidRPr="00277BEC">
        <w:rPr>
          <w:rFonts w:ascii="Arial" w:hAnsi="Arial" w:cs="Arial"/>
        </w:rPr>
        <w:fldChar w:fldCharType="end"/>
      </w:r>
      <w:r w:rsidR="007A2F7D" w:rsidRPr="00277BEC">
        <w:rPr>
          <w:rFonts w:ascii="Arial" w:hAnsi="Arial" w:cs="Arial"/>
        </w:rPr>
        <w:t>.</w:t>
      </w:r>
      <w:proofErr w:type="gramEnd"/>
      <w:r w:rsidR="007A2F7D" w:rsidRPr="00277BEC">
        <w:rPr>
          <w:rFonts w:ascii="Arial" w:hAnsi="Arial" w:cs="Arial"/>
        </w:rPr>
        <w:t xml:space="preserve"> </w:t>
      </w:r>
      <w:r w:rsidR="00A01AF8" w:rsidRPr="00277BEC">
        <w:rPr>
          <w:rFonts w:ascii="Arial" w:hAnsi="Arial" w:cs="Arial"/>
        </w:rPr>
        <w:t xml:space="preserve">A central message from the ALL analysis in </w:t>
      </w:r>
      <w:r w:rsidR="00A01AF8" w:rsidRPr="00277BEC">
        <w:rPr>
          <w:rFonts w:ascii="Arial" w:hAnsi="Arial" w:cs="Arial"/>
        </w:rPr>
        <w:lastRenderedPageBreak/>
        <w:t xml:space="preserve">New Zealand is that what people know and can do has a major impact on their </w:t>
      </w:r>
      <w:r w:rsidR="00F77A73" w:rsidRPr="00277BEC">
        <w:rPr>
          <w:rFonts w:ascii="Arial" w:hAnsi="Arial" w:cs="Arial"/>
        </w:rPr>
        <w:t xml:space="preserve">life </w:t>
      </w:r>
      <w:r w:rsidR="00A01AF8" w:rsidRPr="00277BEC">
        <w:rPr>
          <w:rFonts w:ascii="Arial" w:hAnsi="Arial" w:cs="Arial"/>
        </w:rPr>
        <w:t>opportunities. For example, higher numeracy and literacy competencies are associated with those in the higher income groups</w:t>
      </w:r>
      <w:r w:rsidR="006C6988" w:rsidRPr="00277BEC">
        <w:rPr>
          <w:rFonts w:ascii="Arial" w:hAnsi="Arial" w:cs="Arial"/>
        </w:rPr>
        <w:t xml:space="preserve"> (</w:t>
      </w:r>
      <w:proofErr w:type="spellStart"/>
      <w:r w:rsidR="006C6988" w:rsidRPr="00277BEC">
        <w:rPr>
          <w:rFonts w:ascii="Arial" w:hAnsi="Arial" w:cs="Arial"/>
        </w:rPr>
        <w:t>Satherley</w:t>
      </w:r>
      <w:proofErr w:type="spellEnd"/>
      <w:r w:rsidR="006C6988" w:rsidRPr="00277BEC">
        <w:rPr>
          <w:rFonts w:ascii="Arial" w:hAnsi="Arial" w:cs="Arial"/>
        </w:rPr>
        <w:t xml:space="preserve">, Lawes, &amp; </w:t>
      </w:r>
      <w:proofErr w:type="spellStart"/>
      <w:r w:rsidR="006C6988" w:rsidRPr="00277BEC">
        <w:rPr>
          <w:rFonts w:ascii="Arial" w:hAnsi="Arial" w:cs="Arial"/>
        </w:rPr>
        <w:t>Sok</w:t>
      </w:r>
      <w:proofErr w:type="spellEnd"/>
      <w:r w:rsidR="006C6988" w:rsidRPr="00277BEC">
        <w:rPr>
          <w:rFonts w:ascii="Arial" w:hAnsi="Arial" w:cs="Arial"/>
        </w:rPr>
        <w:t>, 2008</w:t>
      </w:r>
      <w:r w:rsidR="00A01AF8" w:rsidRPr="00277BEC">
        <w:rPr>
          <w:rFonts w:ascii="Arial" w:hAnsi="Arial" w:cs="Arial"/>
        </w:rPr>
        <w:t>).</w:t>
      </w:r>
    </w:p>
    <w:p w14:paraId="235737CC" w14:textId="5ABE98B3" w:rsidR="00942305" w:rsidRPr="00277BEC" w:rsidRDefault="003708DE" w:rsidP="00F90835">
      <w:pPr>
        <w:pStyle w:val="BodyText"/>
        <w:jc w:val="left"/>
        <w:rPr>
          <w:rFonts w:ascii="Arial" w:hAnsi="Arial" w:cs="Arial"/>
        </w:rPr>
      </w:pPr>
      <w:r w:rsidRPr="00277BEC">
        <w:rPr>
          <w:rFonts w:ascii="Arial" w:hAnsi="Arial" w:cs="Arial"/>
        </w:rPr>
        <w:t>The ALL</w:t>
      </w:r>
      <w:r w:rsidR="00942305" w:rsidRPr="00277BEC">
        <w:rPr>
          <w:rFonts w:ascii="Arial" w:hAnsi="Arial" w:cs="Arial"/>
        </w:rPr>
        <w:t xml:space="preserve"> </w:t>
      </w:r>
      <w:r w:rsidR="00CB56E1" w:rsidRPr="00277BEC">
        <w:rPr>
          <w:rFonts w:ascii="Arial" w:hAnsi="Arial" w:cs="Arial"/>
        </w:rPr>
        <w:t xml:space="preserve">survey </w:t>
      </w:r>
      <w:r w:rsidR="00942305" w:rsidRPr="00277BEC">
        <w:rPr>
          <w:rFonts w:ascii="Arial" w:hAnsi="Arial" w:cs="Arial"/>
        </w:rPr>
        <w:t>reported that 43</w:t>
      </w:r>
      <w:r w:rsidR="00F90835">
        <w:rPr>
          <w:rFonts w:ascii="Arial" w:hAnsi="Arial" w:cs="Arial"/>
        </w:rPr>
        <w:t xml:space="preserve"> percent</w:t>
      </w:r>
      <w:r w:rsidR="00942305" w:rsidRPr="00277BEC">
        <w:rPr>
          <w:rFonts w:ascii="Arial" w:hAnsi="Arial" w:cs="Arial"/>
        </w:rPr>
        <w:t xml:space="preserve"> of New Zealanders </w:t>
      </w:r>
      <w:r w:rsidR="00D71DDD" w:rsidRPr="00277BEC">
        <w:rPr>
          <w:rFonts w:ascii="Arial" w:hAnsi="Arial" w:cs="Arial"/>
        </w:rPr>
        <w:t xml:space="preserve">are below </w:t>
      </w:r>
      <w:r w:rsidR="002E1C0E" w:rsidRPr="00277BEC">
        <w:rPr>
          <w:rFonts w:ascii="Arial" w:hAnsi="Arial" w:cs="Arial"/>
        </w:rPr>
        <w:t>L</w:t>
      </w:r>
      <w:r w:rsidR="00AE6A14" w:rsidRPr="00277BEC">
        <w:rPr>
          <w:rFonts w:ascii="Arial" w:hAnsi="Arial" w:cs="Arial"/>
        </w:rPr>
        <w:t>evel 3</w:t>
      </w:r>
      <w:r w:rsidR="00942305" w:rsidRPr="00277BEC">
        <w:rPr>
          <w:rFonts w:ascii="Arial" w:hAnsi="Arial" w:cs="Arial"/>
        </w:rPr>
        <w:t xml:space="preserve"> for document literacy</w:t>
      </w:r>
      <w:r w:rsidR="00F90835">
        <w:rPr>
          <w:rFonts w:ascii="Arial" w:hAnsi="Arial" w:cs="Arial"/>
        </w:rPr>
        <w:t>,</w:t>
      </w:r>
      <w:r w:rsidR="00942305" w:rsidRPr="00277BEC">
        <w:rPr>
          <w:rFonts w:ascii="Arial" w:hAnsi="Arial" w:cs="Arial"/>
        </w:rPr>
        <w:t xml:space="preserve"> and 51</w:t>
      </w:r>
      <w:r w:rsidR="00F90835">
        <w:rPr>
          <w:rFonts w:ascii="Arial" w:hAnsi="Arial" w:cs="Arial"/>
        </w:rPr>
        <w:t xml:space="preserve"> percent</w:t>
      </w:r>
      <w:r w:rsidR="00942305" w:rsidRPr="00277BEC">
        <w:rPr>
          <w:rFonts w:ascii="Arial" w:hAnsi="Arial" w:cs="Arial"/>
        </w:rPr>
        <w:t xml:space="preserve"> are below </w:t>
      </w:r>
      <w:r w:rsidR="000F436D" w:rsidRPr="00277BEC">
        <w:rPr>
          <w:rFonts w:ascii="Arial" w:hAnsi="Arial" w:cs="Arial"/>
        </w:rPr>
        <w:t>L</w:t>
      </w:r>
      <w:r w:rsidR="00AE6A14" w:rsidRPr="00277BEC">
        <w:rPr>
          <w:rFonts w:ascii="Arial" w:hAnsi="Arial" w:cs="Arial"/>
        </w:rPr>
        <w:t>evel 3</w:t>
      </w:r>
      <w:r w:rsidR="00942305" w:rsidRPr="00277BEC">
        <w:rPr>
          <w:rFonts w:ascii="Arial" w:hAnsi="Arial" w:cs="Arial"/>
        </w:rPr>
        <w:t xml:space="preserve"> for numeracy (</w:t>
      </w:r>
      <w:proofErr w:type="spellStart"/>
      <w:r w:rsidR="00942305" w:rsidRPr="00277BEC">
        <w:rPr>
          <w:rFonts w:ascii="Arial" w:hAnsi="Arial" w:cs="Arial"/>
          <w:noProof/>
        </w:rPr>
        <w:t>Satherley</w:t>
      </w:r>
      <w:proofErr w:type="spellEnd"/>
      <w:r w:rsidR="00942305" w:rsidRPr="00277BEC">
        <w:rPr>
          <w:rFonts w:ascii="Arial" w:hAnsi="Arial" w:cs="Arial"/>
          <w:noProof/>
        </w:rPr>
        <w:t>, Lawes, &amp; Sok, 2008</w:t>
      </w:r>
      <w:r w:rsidR="006C6988" w:rsidRPr="00277BEC">
        <w:rPr>
          <w:rFonts w:ascii="Arial" w:hAnsi="Arial" w:cs="Arial"/>
          <w:noProof/>
        </w:rPr>
        <w:t>a</w:t>
      </w:r>
      <w:r w:rsidR="00942305" w:rsidRPr="00277BEC">
        <w:rPr>
          <w:rFonts w:ascii="Arial" w:hAnsi="Arial" w:cs="Arial"/>
          <w:noProof/>
        </w:rPr>
        <w:t>)</w:t>
      </w:r>
      <w:r w:rsidR="007A2F7D" w:rsidRPr="00277BEC">
        <w:rPr>
          <w:rFonts w:ascii="Arial" w:hAnsi="Arial" w:cs="Arial"/>
          <w:noProof/>
        </w:rPr>
        <w:t xml:space="preserve">. </w:t>
      </w:r>
      <w:r w:rsidR="00942305" w:rsidRPr="00277BEC">
        <w:rPr>
          <w:rFonts w:ascii="Arial" w:hAnsi="Arial" w:cs="Arial"/>
        </w:rPr>
        <w:t>Overall</w:t>
      </w:r>
      <w:r w:rsidR="00F90835">
        <w:rPr>
          <w:rFonts w:ascii="Arial" w:hAnsi="Arial" w:cs="Arial"/>
        </w:rPr>
        <w:t>,</w:t>
      </w:r>
      <w:r w:rsidR="00942305" w:rsidRPr="00277BEC">
        <w:rPr>
          <w:rFonts w:ascii="Arial" w:hAnsi="Arial" w:cs="Arial"/>
        </w:rPr>
        <w:t xml:space="preserve"> the 16-24</w:t>
      </w:r>
      <w:r w:rsidR="00F90835">
        <w:rPr>
          <w:rFonts w:ascii="Arial" w:hAnsi="Arial" w:cs="Arial"/>
        </w:rPr>
        <w:t>-</w:t>
      </w:r>
      <w:r w:rsidR="00942305" w:rsidRPr="00277BEC">
        <w:rPr>
          <w:rFonts w:ascii="Arial" w:hAnsi="Arial" w:cs="Arial"/>
        </w:rPr>
        <w:t>year</w:t>
      </w:r>
      <w:r w:rsidR="00F90835">
        <w:rPr>
          <w:rFonts w:ascii="Arial" w:hAnsi="Arial" w:cs="Arial"/>
        </w:rPr>
        <w:t>-</w:t>
      </w:r>
      <w:r w:rsidR="00942305" w:rsidRPr="00277BEC">
        <w:rPr>
          <w:rFonts w:ascii="Arial" w:hAnsi="Arial" w:cs="Arial"/>
        </w:rPr>
        <w:t>old age group had lower levels of competency</w:t>
      </w:r>
      <w:r w:rsidR="00F77A73" w:rsidRPr="00277BEC">
        <w:rPr>
          <w:rFonts w:ascii="Arial" w:hAnsi="Arial" w:cs="Arial"/>
        </w:rPr>
        <w:t>,</w:t>
      </w:r>
      <w:r w:rsidR="00942305" w:rsidRPr="00277BEC">
        <w:rPr>
          <w:rFonts w:ascii="Arial" w:hAnsi="Arial" w:cs="Arial"/>
        </w:rPr>
        <w:t xml:space="preserve"> with 48</w:t>
      </w:r>
      <w:r w:rsidR="00F90835">
        <w:rPr>
          <w:rFonts w:ascii="Arial" w:hAnsi="Arial" w:cs="Arial"/>
        </w:rPr>
        <w:t xml:space="preserve"> percent</w:t>
      </w:r>
      <w:r w:rsidR="00942305" w:rsidRPr="00277BEC">
        <w:rPr>
          <w:rFonts w:ascii="Arial" w:hAnsi="Arial" w:cs="Arial"/>
        </w:rPr>
        <w:t xml:space="preserve"> below </w:t>
      </w:r>
      <w:r w:rsidR="002E1C0E" w:rsidRPr="00277BEC">
        <w:rPr>
          <w:rFonts w:ascii="Arial" w:hAnsi="Arial" w:cs="Arial"/>
        </w:rPr>
        <w:t>L</w:t>
      </w:r>
      <w:r w:rsidR="00AE6A14" w:rsidRPr="00277BEC">
        <w:rPr>
          <w:rFonts w:ascii="Arial" w:hAnsi="Arial" w:cs="Arial"/>
        </w:rPr>
        <w:t>evel 3</w:t>
      </w:r>
      <w:r w:rsidR="00D71DDD" w:rsidRPr="00277BEC">
        <w:rPr>
          <w:rFonts w:ascii="Arial" w:hAnsi="Arial" w:cs="Arial"/>
        </w:rPr>
        <w:t xml:space="preserve"> for document literacy</w:t>
      </w:r>
      <w:r w:rsidR="00942305" w:rsidRPr="00277BEC">
        <w:rPr>
          <w:rFonts w:ascii="Arial" w:hAnsi="Arial" w:cs="Arial"/>
        </w:rPr>
        <w:t xml:space="preserve"> and 58</w:t>
      </w:r>
      <w:r w:rsidR="00F90835">
        <w:rPr>
          <w:rFonts w:ascii="Arial" w:hAnsi="Arial" w:cs="Arial"/>
        </w:rPr>
        <w:t xml:space="preserve"> percent</w:t>
      </w:r>
      <w:r w:rsidR="00942305" w:rsidRPr="00277BEC">
        <w:rPr>
          <w:rFonts w:ascii="Arial" w:hAnsi="Arial" w:cs="Arial"/>
        </w:rPr>
        <w:t xml:space="preserve"> below the </w:t>
      </w:r>
      <w:r w:rsidR="000F436D" w:rsidRPr="00277BEC">
        <w:rPr>
          <w:rFonts w:ascii="Arial" w:hAnsi="Arial" w:cs="Arial"/>
        </w:rPr>
        <w:t>L</w:t>
      </w:r>
      <w:r w:rsidR="00AE6A14" w:rsidRPr="00277BEC">
        <w:rPr>
          <w:rFonts w:ascii="Arial" w:hAnsi="Arial" w:cs="Arial"/>
        </w:rPr>
        <w:t>evel 3</w:t>
      </w:r>
      <w:r w:rsidR="00942305" w:rsidRPr="00277BEC">
        <w:rPr>
          <w:rFonts w:ascii="Arial" w:hAnsi="Arial" w:cs="Arial"/>
        </w:rPr>
        <w:t xml:space="preserve"> for numeracy. </w:t>
      </w:r>
    </w:p>
    <w:p w14:paraId="640447A0" w14:textId="0E6AB51D" w:rsidR="00880D80" w:rsidRPr="00277BEC" w:rsidRDefault="00880D80" w:rsidP="00F90835">
      <w:pPr>
        <w:jc w:val="left"/>
        <w:rPr>
          <w:rFonts w:ascii="Arial" w:hAnsi="Arial" w:cs="Arial"/>
        </w:rPr>
      </w:pPr>
      <w:r w:rsidRPr="00277BEC">
        <w:rPr>
          <w:rFonts w:ascii="Arial" w:hAnsi="Arial" w:cs="Arial"/>
        </w:rPr>
        <w:t>The analysis of New Zealand’s ALL</w:t>
      </w:r>
      <w:r w:rsidR="00366ED6" w:rsidRPr="00277BEC">
        <w:rPr>
          <w:rFonts w:ascii="Arial" w:hAnsi="Arial" w:cs="Arial"/>
        </w:rPr>
        <w:t xml:space="preserve"> results also included an examination of</w:t>
      </w:r>
      <w:r w:rsidRPr="00277BEC">
        <w:rPr>
          <w:rFonts w:ascii="Arial" w:hAnsi="Arial" w:cs="Arial"/>
        </w:rPr>
        <w:t xml:space="preserve"> the relationship between a person’s literacy and numeracy levels and their educational qualifications. While literacy and numeracy levels were found to be related to educational qualifications</w:t>
      </w:r>
      <w:r w:rsidR="00D04860" w:rsidRPr="00277BEC">
        <w:rPr>
          <w:rFonts w:ascii="Arial" w:hAnsi="Arial" w:cs="Arial"/>
        </w:rPr>
        <w:t>,</w:t>
      </w:r>
      <w:r w:rsidRPr="00277BEC">
        <w:rPr>
          <w:rFonts w:ascii="Arial" w:hAnsi="Arial" w:cs="Arial"/>
        </w:rPr>
        <w:t xml:space="preserve"> the analysis concluded that “educational qualifications do not provide a robust way of predicting </w:t>
      </w:r>
      <w:r w:rsidR="00526634" w:rsidRPr="00277BEC">
        <w:rPr>
          <w:rFonts w:ascii="Arial" w:hAnsi="Arial" w:cs="Arial"/>
        </w:rPr>
        <w:t xml:space="preserve">the </w:t>
      </w:r>
      <w:r w:rsidRPr="00277BEC">
        <w:rPr>
          <w:rFonts w:ascii="Arial" w:hAnsi="Arial" w:cs="Arial"/>
        </w:rPr>
        <w:t>literacy or numeracy levels of individuals and should be used with caution”</w:t>
      </w:r>
      <w:r w:rsidR="00564ED3" w:rsidRPr="00277BEC">
        <w:rPr>
          <w:rFonts w:ascii="Arial" w:hAnsi="Arial" w:cs="Arial"/>
        </w:rPr>
        <w:t xml:space="preserve"> (Ministry of Education, 2009, p</w:t>
      </w:r>
      <w:r w:rsidRPr="00277BEC">
        <w:rPr>
          <w:rFonts w:ascii="Arial" w:hAnsi="Arial" w:cs="Arial"/>
        </w:rPr>
        <w:t xml:space="preserve">.1). </w:t>
      </w:r>
    </w:p>
    <w:p w14:paraId="133CC003" w14:textId="77777777" w:rsidR="004E5D8C" w:rsidRPr="00277BEC" w:rsidRDefault="004E5D8C" w:rsidP="00F90835">
      <w:pPr>
        <w:pStyle w:val="Heading3"/>
        <w:jc w:val="left"/>
        <w:rPr>
          <w:rFonts w:cs="Arial"/>
        </w:rPr>
      </w:pPr>
      <w:bookmarkStart w:id="19" w:name="_Toc264282835"/>
      <w:r w:rsidRPr="00277BEC">
        <w:rPr>
          <w:rFonts w:cs="Arial"/>
        </w:rPr>
        <w:t xml:space="preserve">The </w:t>
      </w:r>
      <w:r w:rsidR="002E1C0E" w:rsidRPr="00277BEC">
        <w:rPr>
          <w:rFonts w:cs="Arial"/>
        </w:rPr>
        <w:t xml:space="preserve">Adult Learning Progressions and the </w:t>
      </w:r>
      <w:r w:rsidRPr="00277BEC">
        <w:rPr>
          <w:rFonts w:cs="Arial"/>
        </w:rPr>
        <w:t>Assessment Tool</w:t>
      </w:r>
      <w:bookmarkEnd w:id="19"/>
    </w:p>
    <w:p w14:paraId="1C9EE25F" w14:textId="77777777" w:rsidR="00942305" w:rsidRPr="00277BEC" w:rsidRDefault="00070861" w:rsidP="00F90835">
      <w:pPr>
        <w:pStyle w:val="BodyText"/>
        <w:jc w:val="left"/>
        <w:rPr>
          <w:rFonts w:ascii="Arial" w:hAnsi="Arial" w:cs="Arial"/>
        </w:rPr>
      </w:pPr>
      <w:r w:rsidRPr="00277BEC">
        <w:rPr>
          <w:rFonts w:ascii="Arial" w:hAnsi="Arial" w:cs="Arial"/>
        </w:rPr>
        <w:t>The Adult Learning Progressions were</w:t>
      </w:r>
      <w:r w:rsidR="00942305" w:rsidRPr="00277BEC">
        <w:rPr>
          <w:rFonts w:ascii="Arial" w:hAnsi="Arial" w:cs="Arial"/>
        </w:rPr>
        <w:t xml:space="preserve"> developed to identify what individuals may need to learn in order to strengthen their literacy and numeracy competencies. </w:t>
      </w:r>
      <w:r w:rsidR="004E5D8C" w:rsidRPr="00277BEC">
        <w:rPr>
          <w:rFonts w:ascii="Arial" w:hAnsi="Arial" w:cs="Arial"/>
        </w:rPr>
        <w:t xml:space="preserve">The Assessment Tool </w:t>
      </w:r>
      <w:r w:rsidRPr="00277BEC">
        <w:rPr>
          <w:rFonts w:ascii="Arial" w:hAnsi="Arial" w:cs="Arial"/>
        </w:rPr>
        <w:t>was developed to measure against</w:t>
      </w:r>
      <w:r w:rsidR="004E5D8C" w:rsidRPr="00277BEC">
        <w:rPr>
          <w:rFonts w:ascii="Arial" w:hAnsi="Arial" w:cs="Arial"/>
        </w:rPr>
        <w:t xml:space="preserve"> Learning </w:t>
      </w:r>
      <w:r w:rsidR="00942305" w:rsidRPr="00277BEC">
        <w:rPr>
          <w:rFonts w:ascii="Arial" w:hAnsi="Arial" w:cs="Arial"/>
        </w:rPr>
        <w:t xml:space="preserve">Progressions for Adult Literacy and Numeracy </w:t>
      </w:r>
      <w:r w:rsidR="004E5D8C" w:rsidRPr="00277BEC">
        <w:rPr>
          <w:rFonts w:ascii="Arial" w:hAnsi="Arial" w:cs="Arial"/>
        </w:rPr>
        <w:t>(</w:t>
      </w:r>
      <w:r w:rsidR="00DA0AD4" w:rsidRPr="00277BEC">
        <w:rPr>
          <w:rFonts w:ascii="Arial" w:hAnsi="Arial" w:cs="Arial"/>
        </w:rPr>
        <w:t>learning progressions;</w:t>
      </w:r>
      <w:r w:rsidR="004E5D8C" w:rsidRPr="00277BEC">
        <w:rPr>
          <w:rFonts w:ascii="Arial" w:hAnsi="Arial" w:cs="Arial"/>
        </w:rPr>
        <w:t xml:space="preserve"> </w:t>
      </w:r>
      <w:r w:rsidR="00D71DDD" w:rsidRPr="00277BEC">
        <w:rPr>
          <w:rFonts w:ascii="Arial" w:hAnsi="Arial" w:cs="Arial"/>
        </w:rPr>
        <w:fldChar w:fldCharType="begin" w:fldLock="1"/>
      </w:r>
      <w:r w:rsidR="00942305" w:rsidRPr="00277BEC">
        <w:rPr>
          <w:rFonts w:ascii="Arial" w:hAnsi="Arial" w:cs="Arial"/>
        </w:rPr>
        <w:instrText>ADDIN CSL_CITATION { "citationItems" : [ { "id" : "ITEM-1", "itemData" : { "abstract" : "The learning progressions describe the main elements or strands of learning that adults require in order to: \u2022 Listen with understanding \u2022 Speak to Communicate \u2022 Read with Understanding \u2022 Write to Communicate \u2022 Make Sense of Number to Solve Problems \u2022 Reason Statistically, and \u2022 Measure and Interpret Shape and Space.", "author" : [ { "dropping-particle" : "", "family" : "Tertiary Education Commission", "given" : "", "non-dropping-particle" : "", "parse-names" : false, "suffix" : "" } ], "id" : "ITEM-1", "issued" : { "date-parts" : [ [ "2008" ] ] }, "publisher-place" : "Wellington", "title" : "Learning progressions for adult literacy and numeracy: background information", "type" : "report" }, "uris" : [ "http://www.mendeley.com/documents/?uuid=20394b71-5d92-4fef-a971-4594cd5d6e4b" ] } ], "mendeley" : { "previouslyFormattedCitation" : "(Tertiary Education Commission, 2008a)" }, "properties" : { "noteIndex" : 0 }, "schema" : "https://github.com/citation-style-language/schema/raw/master/csl-citation.json" }</w:instrText>
      </w:r>
      <w:r w:rsidR="00D71DDD" w:rsidRPr="00277BEC">
        <w:rPr>
          <w:rFonts w:ascii="Arial" w:hAnsi="Arial" w:cs="Arial"/>
        </w:rPr>
        <w:fldChar w:fldCharType="separate"/>
      </w:r>
      <w:r w:rsidR="00942305" w:rsidRPr="00277BEC">
        <w:rPr>
          <w:rFonts w:ascii="Arial" w:hAnsi="Arial" w:cs="Arial"/>
          <w:noProof/>
        </w:rPr>
        <w:t>Tertiary Education Commission, 2008)</w:t>
      </w:r>
      <w:r w:rsidR="00D71DDD" w:rsidRPr="00277BEC">
        <w:rPr>
          <w:rFonts w:ascii="Arial" w:hAnsi="Arial" w:cs="Arial"/>
        </w:rPr>
        <w:fldChar w:fldCharType="end"/>
      </w:r>
      <w:r w:rsidR="00942305" w:rsidRPr="00277BEC">
        <w:rPr>
          <w:rFonts w:ascii="Arial" w:hAnsi="Arial" w:cs="Arial"/>
        </w:rPr>
        <w:t xml:space="preserve">. </w:t>
      </w:r>
    </w:p>
    <w:p w14:paraId="165F2198" w14:textId="5CF4EBC2" w:rsidR="00942305" w:rsidRPr="00277BEC" w:rsidRDefault="00942305" w:rsidP="00F90835">
      <w:pPr>
        <w:pStyle w:val="BodyText"/>
        <w:jc w:val="left"/>
        <w:rPr>
          <w:rFonts w:ascii="Arial" w:hAnsi="Arial" w:cs="Arial"/>
        </w:rPr>
      </w:pPr>
      <w:r w:rsidRPr="00277BEC">
        <w:rPr>
          <w:rFonts w:ascii="Arial" w:hAnsi="Arial" w:cs="Arial"/>
        </w:rPr>
        <w:t>The learning progressions were developed in strands to reflect the key competencies of listening, speaking, reading, writing and numeracy</w:t>
      </w:r>
      <w:r w:rsidR="007A2F7D" w:rsidRPr="00277BEC">
        <w:rPr>
          <w:rFonts w:ascii="Arial" w:hAnsi="Arial" w:cs="Arial"/>
        </w:rPr>
        <w:t xml:space="preserve">. </w:t>
      </w:r>
      <w:r w:rsidRPr="00277BEC">
        <w:rPr>
          <w:rFonts w:ascii="Arial" w:hAnsi="Arial" w:cs="Arial"/>
        </w:rPr>
        <w:t>Each strand is made up of a number of progressions that together describe the developing expertise in that strand</w:t>
      </w:r>
      <w:r w:rsidR="007A2F7D" w:rsidRPr="00277BEC">
        <w:rPr>
          <w:rFonts w:ascii="Arial" w:hAnsi="Arial" w:cs="Arial"/>
        </w:rPr>
        <w:t xml:space="preserve">. </w:t>
      </w:r>
      <w:r w:rsidRPr="00277BEC">
        <w:rPr>
          <w:rFonts w:ascii="Arial" w:hAnsi="Arial" w:cs="Arial"/>
        </w:rPr>
        <w:t xml:space="preserve">The term </w:t>
      </w:r>
      <w:r w:rsidRPr="00277BEC">
        <w:rPr>
          <w:rFonts w:ascii="Arial" w:hAnsi="Arial" w:cs="Arial"/>
          <w:i/>
        </w:rPr>
        <w:t>progression</w:t>
      </w:r>
      <w:r w:rsidRPr="00277BEC">
        <w:rPr>
          <w:rFonts w:ascii="Arial" w:hAnsi="Arial" w:cs="Arial"/>
        </w:rPr>
        <w:t xml:space="preserve"> is used to describe a series of steps along the continuum of developing expertise</w:t>
      </w:r>
      <w:r w:rsidR="007A2F7D" w:rsidRPr="00277BEC">
        <w:rPr>
          <w:rFonts w:ascii="Arial" w:hAnsi="Arial" w:cs="Arial"/>
        </w:rPr>
        <w:t xml:space="preserve">. </w:t>
      </w:r>
      <w:r w:rsidRPr="00277BEC">
        <w:rPr>
          <w:rFonts w:ascii="Arial" w:hAnsi="Arial" w:cs="Arial"/>
        </w:rPr>
        <w:t>The steps within any progression represent significant shifts in development and some require more learning tha</w:t>
      </w:r>
      <w:r w:rsidR="00D04860" w:rsidRPr="00277BEC">
        <w:rPr>
          <w:rFonts w:ascii="Arial" w:hAnsi="Arial" w:cs="Arial"/>
        </w:rPr>
        <w:t>n</w:t>
      </w:r>
      <w:r w:rsidRPr="00277BEC">
        <w:rPr>
          <w:rFonts w:ascii="Arial" w:hAnsi="Arial" w:cs="Arial"/>
        </w:rPr>
        <w:t xml:space="preserve"> others</w:t>
      </w:r>
      <w:r w:rsidR="007A2F7D" w:rsidRPr="00277BEC">
        <w:rPr>
          <w:rFonts w:ascii="Arial" w:hAnsi="Arial" w:cs="Arial"/>
        </w:rPr>
        <w:t xml:space="preserve">. </w:t>
      </w:r>
      <w:r w:rsidRPr="00277BEC">
        <w:rPr>
          <w:rFonts w:ascii="Arial" w:hAnsi="Arial" w:cs="Arial"/>
        </w:rPr>
        <w:t>Consequently the steps within each progression are not evenly spaced</w:t>
      </w:r>
      <w:r w:rsidR="00CB56E1" w:rsidRPr="00277BEC">
        <w:rPr>
          <w:rFonts w:ascii="Arial" w:hAnsi="Arial" w:cs="Arial"/>
        </w:rPr>
        <w:t>,</w:t>
      </w:r>
      <w:r w:rsidRPr="00277BEC">
        <w:rPr>
          <w:rFonts w:ascii="Arial" w:hAnsi="Arial" w:cs="Arial"/>
        </w:rPr>
        <w:t xml:space="preserve"> although there was an attempt to roughly align the steps between progressions within </w:t>
      </w:r>
      <w:r w:rsidR="00CB56E1" w:rsidRPr="00277BEC">
        <w:rPr>
          <w:rFonts w:ascii="Arial" w:hAnsi="Arial" w:cs="Arial"/>
        </w:rPr>
        <w:t xml:space="preserve">each </w:t>
      </w:r>
      <w:r w:rsidRPr="00277BEC">
        <w:rPr>
          <w:rFonts w:ascii="Arial" w:hAnsi="Arial" w:cs="Arial"/>
        </w:rPr>
        <w:t>strand</w:t>
      </w:r>
      <w:r w:rsidR="007A2F7D" w:rsidRPr="00277BEC">
        <w:rPr>
          <w:rFonts w:ascii="Arial" w:hAnsi="Arial" w:cs="Arial"/>
        </w:rPr>
        <w:t xml:space="preserve">. </w:t>
      </w:r>
      <w:r w:rsidRPr="00277BEC">
        <w:rPr>
          <w:rFonts w:ascii="Arial" w:hAnsi="Arial" w:cs="Arial"/>
        </w:rPr>
        <w:t>For example</w:t>
      </w:r>
      <w:r w:rsidR="00AE2961" w:rsidRPr="00277BEC">
        <w:rPr>
          <w:rFonts w:ascii="Arial" w:hAnsi="Arial" w:cs="Arial"/>
        </w:rPr>
        <w:t>,</w:t>
      </w:r>
      <w:r w:rsidRPr="00277BEC">
        <w:rPr>
          <w:rFonts w:ascii="Arial" w:hAnsi="Arial" w:cs="Arial"/>
        </w:rPr>
        <w:t xml:space="preserve"> </w:t>
      </w:r>
      <w:r w:rsidR="00AE2961" w:rsidRPr="00277BEC">
        <w:rPr>
          <w:rFonts w:ascii="Arial" w:hAnsi="Arial" w:cs="Arial"/>
        </w:rPr>
        <w:t>in</w:t>
      </w:r>
      <w:r w:rsidRPr="00277BEC">
        <w:rPr>
          <w:rFonts w:ascii="Arial" w:hAnsi="Arial" w:cs="Arial"/>
        </w:rPr>
        <w:t xml:space="preserve"> the six learning progressions for the </w:t>
      </w:r>
      <w:r w:rsidRPr="00277BEC">
        <w:rPr>
          <w:rFonts w:ascii="Arial" w:hAnsi="Arial" w:cs="Arial"/>
          <w:i/>
        </w:rPr>
        <w:t>Make Sense of Number</w:t>
      </w:r>
      <w:r w:rsidRPr="00277BEC">
        <w:rPr>
          <w:rFonts w:ascii="Arial" w:hAnsi="Arial" w:cs="Arial"/>
        </w:rPr>
        <w:t xml:space="preserve"> to </w:t>
      </w:r>
      <w:r w:rsidRPr="00277BEC">
        <w:rPr>
          <w:rFonts w:ascii="Arial" w:hAnsi="Arial" w:cs="Arial"/>
          <w:i/>
        </w:rPr>
        <w:t>Solve Problems</w:t>
      </w:r>
      <w:r w:rsidRPr="00277BEC">
        <w:rPr>
          <w:rFonts w:ascii="Arial" w:hAnsi="Arial" w:cs="Arial"/>
        </w:rPr>
        <w:t xml:space="preserve"> strand</w:t>
      </w:r>
      <w:r w:rsidR="00AE2961" w:rsidRPr="00277BEC">
        <w:rPr>
          <w:rFonts w:ascii="Arial" w:hAnsi="Arial" w:cs="Arial"/>
        </w:rPr>
        <w:t xml:space="preserve">, </w:t>
      </w:r>
      <w:r w:rsidR="00C54094">
        <w:rPr>
          <w:rFonts w:ascii="Arial" w:hAnsi="Arial" w:cs="Arial"/>
        </w:rPr>
        <w:t>S</w:t>
      </w:r>
      <w:r w:rsidR="00AE2961" w:rsidRPr="00277BEC">
        <w:rPr>
          <w:rFonts w:ascii="Arial" w:hAnsi="Arial" w:cs="Arial"/>
        </w:rPr>
        <w:t>tep 5 of each</w:t>
      </w:r>
      <w:r w:rsidRPr="00277BEC">
        <w:rPr>
          <w:rFonts w:ascii="Arial" w:hAnsi="Arial" w:cs="Arial"/>
        </w:rPr>
        <w:t xml:space="preserve"> </w:t>
      </w:r>
      <w:r w:rsidR="00AE2961" w:rsidRPr="00277BEC">
        <w:rPr>
          <w:rFonts w:ascii="Arial" w:hAnsi="Arial" w:cs="Arial"/>
        </w:rPr>
        <w:t>is</w:t>
      </w:r>
      <w:r w:rsidRPr="00277BEC">
        <w:rPr>
          <w:rFonts w:ascii="Arial" w:hAnsi="Arial" w:cs="Arial"/>
        </w:rPr>
        <w:t xml:space="preserve"> of similar complexity.</w:t>
      </w:r>
    </w:p>
    <w:p w14:paraId="5A9877D8" w14:textId="70C4C1A3" w:rsidR="004E5D8C" w:rsidRPr="00277BEC" w:rsidRDefault="00942305" w:rsidP="00F90835">
      <w:pPr>
        <w:pStyle w:val="BodyText"/>
        <w:jc w:val="left"/>
        <w:rPr>
          <w:rFonts w:ascii="Arial" w:hAnsi="Arial" w:cs="Arial"/>
          <w:lang w:val="en-US"/>
        </w:rPr>
      </w:pPr>
      <w:r w:rsidRPr="00277BEC">
        <w:rPr>
          <w:rFonts w:ascii="Arial" w:hAnsi="Arial" w:cs="Arial"/>
          <w:lang w:val="en-US"/>
        </w:rPr>
        <w:t xml:space="preserve">The Assessment Tool provides assessments against three of the seven strands of the learning progressions, namely: </w:t>
      </w:r>
      <w:r w:rsidR="00E967D4" w:rsidRPr="00277BEC">
        <w:rPr>
          <w:rFonts w:ascii="Arial" w:hAnsi="Arial" w:cs="Arial"/>
          <w:lang w:val="en-US"/>
        </w:rPr>
        <w:t>Reading with Understanding,</w:t>
      </w:r>
      <w:r w:rsidRPr="00277BEC">
        <w:rPr>
          <w:rFonts w:ascii="Arial" w:hAnsi="Arial" w:cs="Arial"/>
          <w:lang w:val="en-US"/>
        </w:rPr>
        <w:t xml:space="preserve"> Making Sense of Number to Solve Problems</w:t>
      </w:r>
      <w:r w:rsidR="00E967D4" w:rsidRPr="00277BEC">
        <w:rPr>
          <w:rFonts w:ascii="Arial" w:hAnsi="Arial" w:cs="Arial"/>
          <w:lang w:val="en-US"/>
        </w:rPr>
        <w:t>,</w:t>
      </w:r>
      <w:r w:rsidRPr="00277BEC">
        <w:rPr>
          <w:rFonts w:ascii="Arial" w:hAnsi="Arial" w:cs="Arial"/>
          <w:lang w:val="en-US"/>
        </w:rPr>
        <w:t xml:space="preserve"> and Writing to Communicate</w:t>
      </w:r>
      <w:r w:rsidR="007A2F7D" w:rsidRPr="00277BEC">
        <w:rPr>
          <w:rFonts w:ascii="Arial" w:hAnsi="Arial" w:cs="Arial"/>
          <w:lang w:val="en-US"/>
        </w:rPr>
        <w:t xml:space="preserve">. </w:t>
      </w:r>
      <w:r w:rsidRPr="00277BEC">
        <w:rPr>
          <w:rFonts w:ascii="Arial" w:hAnsi="Arial" w:cs="Arial"/>
          <w:lang w:val="en-US"/>
        </w:rPr>
        <w:t>In addition</w:t>
      </w:r>
      <w:r w:rsidR="00C54094">
        <w:rPr>
          <w:rFonts w:ascii="Arial" w:hAnsi="Arial" w:cs="Arial"/>
          <w:lang w:val="en-US"/>
        </w:rPr>
        <w:t>,</w:t>
      </w:r>
      <w:r w:rsidRPr="00277BEC">
        <w:rPr>
          <w:rFonts w:ascii="Arial" w:hAnsi="Arial" w:cs="Arial"/>
          <w:lang w:val="en-US"/>
        </w:rPr>
        <w:t xml:space="preserve"> the measurement progression was included from the Measure and Interpret Shape and Space strand. </w:t>
      </w:r>
      <w:r w:rsidR="007E4121" w:rsidRPr="00277BEC">
        <w:rPr>
          <w:rFonts w:ascii="Arial" w:hAnsi="Arial" w:cs="Arial"/>
          <w:lang w:val="en-US"/>
        </w:rPr>
        <w:t>Note that measures of writing, listening and speaking which are important aspects are not included in the current project.</w:t>
      </w:r>
    </w:p>
    <w:p w14:paraId="263A7914" w14:textId="77777777" w:rsidR="004E5D8C" w:rsidRPr="00277BEC" w:rsidRDefault="004E5D8C" w:rsidP="00F90835">
      <w:pPr>
        <w:pStyle w:val="BodyText"/>
        <w:jc w:val="left"/>
        <w:rPr>
          <w:rFonts w:ascii="Arial" w:hAnsi="Arial" w:cs="Arial"/>
          <w:lang w:val="en-US"/>
        </w:rPr>
      </w:pPr>
      <w:r w:rsidRPr="00277BEC">
        <w:rPr>
          <w:rFonts w:ascii="Arial" w:hAnsi="Arial" w:cs="Arial"/>
          <w:lang w:val="en-US"/>
        </w:rPr>
        <w:t>The Assessment Tool reports assessment results against an equal</w:t>
      </w:r>
      <w:r w:rsidR="00F77A73" w:rsidRPr="00277BEC">
        <w:rPr>
          <w:rFonts w:ascii="Arial" w:hAnsi="Arial" w:cs="Arial"/>
          <w:lang w:val="en-US"/>
        </w:rPr>
        <w:t>-</w:t>
      </w:r>
      <w:r w:rsidRPr="00277BEC">
        <w:rPr>
          <w:rFonts w:ascii="Arial" w:hAnsi="Arial" w:cs="Arial"/>
          <w:lang w:val="en-US"/>
        </w:rPr>
        <w:t>interval numerical scale from 0 to 1</w:t>
      </w:r>
      <w:r w:rsidR="00AE4EB9" w:rsidRPr="00277BEC">
        <w:rPr>
          <w:rFonts w:ascii="Arial" w:hAnsi="Arial" w:cs="Arial"/>
          <w:lang w:val="en-US"/>
        </w:rPr>
        <w:t>,</w:t>
      </w:r>
      <w:r w:rsidRPr="00277BEC">
        <w:rPr>
          <w:rFonts w:ascii="Arial" w:hAnsi="Arial" w:cs="Arial"/>
          <w:lang w:val="en-US"/>
        </w:rPr>
        <w:t>000. The scale is divided into the steps of the relevant learning progressions using the cut points in Table</w:t>
      </w:r>
      <w:r w:rsidR="003C7DF7" w:rsidRPr="00277BEC">
        <w:rPr>
          <w:rFonts w:ascii="Arial" w:hAnsi="Arial" w:cs="Arial"/>
          <w:lang w:val="en-US"/>
        </w:rPr>
        <w:t xml:space="preserve"> </w:t>
      </w:r>
      <w:r w:rsidR="00AF3C70" w:rsidRPr="00277BEC">
        <w:rPr>
          <w:rFonts w:ascii="Arial" w:hAnsi="Arial" w:cs="Arial"/>
          <w:lang w:val="en-US"/>
        </w:rPr>
        <w:t>1</w:t>
      </w:r>
      <w:r w:rsidR="007A2F7D" w:rsidRPr="00277BEC">
        <w:rPr>
          <w:rFonts w:ascii="Arial" w:hAnsi="Arial" w:cs="Arial"/>
          <w:lang w:val="en-US"/>
        </w:rPr>
        <w:t xml:space="preserve">. </w:t>
      </w:r>
      <w:r w:rsidR="003C7DF7" w:rsidRPr="00277BEC">
        <w:rPr>
          <w:rFonts w:ascii="Arial" w:hAnsi="Arial" w:cs="Arial"/>
          <w:lang w:val="en-US"/>
        </w:rPr>
        <w:t>The cut points for the steps are different for reading and numeracy</w:t>
      </w:r>
      <w:r w:rsidR="005436AC" w:rsidRPr="00277BEC">
        <w:rPr>
          <w:rFonts w:ascii="Arial" w:hAnsi="Arial" w:cs="Arial"/>
          <w:lang w:val="en-US"/>
        </w:rPr>
        <w:t xml:space="preserve">, </w:t>
      </w:r>
      <w:r w:rsidR="003C7DF7" w:rsidRPr="00277BEC">
        <w:rPr>
          <w:rFonts w:ascii="Arial" w:hAnsi="Arial" w:cs="Arial"/>
          <w:lang w:val="en-US"/>
        </w:rPr>
        <w:t>which reflects the different construction of the learning progressions</w:t>
      </w:r>
      <w:r w:rsidR="007A2F7D" w:rsidRPr="00277BEC">
        <w:rPr>
          <w:rFonts w:ascii="Arial" w:hAnsi="Arial" w:cs="Arial"/>
          <w:lang w:val="en-US"/>
        </w:rPr>
        <w:t xml:space="preserve">. </w:t>
      </w:r>
      <w:r w:rsidR="003C7DF7" w:rsidRPr="00277BEC">
        <w:rPr>
          <w:rFonts w:ascii="Arial" w:hAnsi="Arial" w:cs="Arial"/>
          <w:lang w:val="en-US"/>
        </w:rPr>
        <w:t xml:space="preserve">The numeracy learning progressions have a lower starting point than </w:t>
      </w:r>
      <w:r w:rsidR="003C7DF7" w:rsidRPr="00277BEC">
        <w:rPr>
          <w:rFonts w:ascii="Arial" w:hAnsi="Arial" w:cs="Arial"/>
          <w:lang w:val="en-US"/>
        </w:rPr>
        <w:lastRenderedPageBreak/>
        <w:t>the reading learning progressions and correspondingly the highest step on the reading learning progressions represents a greater degree of sophistication in reading than the highest step in numeracy</w:t>
      </w:r>
      <w:r w:rsidR="007A2F7D" w:rsidRPr="00277BEC">
        <w:rPr>
          <w:rFonts w:ascii="Arial" w:hAnsi="Arial" w:cs="Arial"/>
          <w:lang w:val="en-US"/>
        </w:rPr>
        <w:t xml:space="preserve">. </w:t>
      </w:r>
    </w:p>
    <w:p w14:paraId="2C43C56A" w14:textId="77777777" w:rsidR="005436AC" w:rsidRPr="00277BEC" w:rsidRDefault="005436AC" w:rsidP="00C54094">
      <w:pPr>
        <w:pStyle w:val="BodyText"/>
        <w:jc w:val="left"/>
        <w:rPr>
          <w:rFonts w:ascii="Arial" w:hAnsi="Arial" w:cs="Arial"/>
          <w:lang w:val="en-US"/>
        </w:rPr>
      </w:pPr>
      <w:r w:rsidRPr="00277BEC">
        <w:rPr>
          <w:rFonts w:ascii="Arial" w:hAnsi="Arial" w:cs="Arial"/>
          <w:lang w:val="en-US"/>
        </w:rPr>
        <w:t xml:space="preserve">Both the scale </w:t>
      </w:r>
      <w:r w:rsidR="00F77A73" w:rsidRPr="00277BEC">
        <w:rPr>
          <w:rFonts w:ascii="Arial" w:hAnsi="Arial" w:cs="Arial"/>
          <w:lang w:val="en-US"/>
        </w:rPr>
        <w:t xml:space="preserve">scores </w:t>
      </w:r>
      <w:r w:rsidRPr="00277BEC">
        <w:rPr>
          <w:rFonts w:ascii="Arial" w:hAnsi="Arial" w:cs="Arial"/>
          <w:lang w:val="en-US"/>
        </w:rPr>
        <w:t xml:space="preserve">(referred to as the numeracy scale or the reading scale) and the learning progression steps are used in this report to analyse performance on the Assessment Tool. </w:t>
      </w:r>
    </w:p>
    <w:p w14:paraId="3EF9427C" w14:textId="25B8926D" w:rsidR="003C7DF7" w:rsidRPr="00277BEC" w:rsidRDefault="003C7DF7" w:rsidP="003C7DF7">
      <w:pPr>
        <w:pStyle w:val="Caption"/>
        <w:rPr>
          <w:rFonts w:cs="Arial"/>
        </w:rPr>
      </w:pPr>
      <w:bookmarkStart w:id="20" w:name="_Toc270604920"/>
      <w:r w:rsidRPr="00277BEC">
        <w:rPr>
          <w:rFonts w:cs="Arial"/>
          <w:b/>
        </w:rPr>
        <w:t xml:space="preserve">Table </w:t>
      </w:r>
      <w:r w:rsidR="00D71DDD" w:rsidRPr="00277BEC">
        <w:rPr>
          <w:rFonts w:cs="Arial"/>
          <w:b/>
        </w:rPr>
        <w:fldChar w:fldCharType="begin"/>
      </w:r>
      <w:r w:rsidRPr="00277BEC">
        <w:rPr>
          <w:rFonts w:cs="Arial"/>
          <w:b/>
        </w:rPr>
        <w:instrText xml:space="preserve"> SEQ Table \* ARABIC </w:instrText>
      </w:r>
      <w:r w:rsidR="00D71DDD" w:rsidRPr="00277BEC">
        <w:rPr>
          <w:rFonts w:cs="Arial"/>
          <w:b/>
        </w:rPr>
        <w:fldChar w:fldCharType="separate"/>
      </w:r>
      <w:r w:rsidR="00277BEC" w:rsidRPr="00277BEC">
        <w:rPr>
          <w:rFonts w:cs="Arial"/>
          <w:b/>
          <w:noProof/>
        </w:rPr>
        <w:t>1</w:t>
      </w:r>
      <w:r w:rsidR="00D71DDD" w:rsidRPr="00277BEC">
        <w:rPr>
          <w:rFonts w:cs="Arial"/>
          <w:b/>
        </w:rPr>
        <w:fldChar w:fldCharType="end"/>
      </w:r>
      <w:r w:rsidRPr="00277BEC">
        <w:rPr>
          <w:rFonts w:cs="Arial"/>
        </w:rPr>
        <w:t xml:space="preserve"> Cut points on the Assessme</w:t>
      </w:r>
      <w:r w:rsidR="006C4CA6" w:rsidRPr="00277BEC">
        <w:rPr>
          <w:rFonts w:cs="Arial"/>
        </w:rPr>
        <w:t>nt Tool scale for steps on the learning p</w:t>
      </w:r>
      <w:r w:rsidRPr="00277BEC">
        <w:rPr>
          <w:rFonts w:cs="Arial"/>
        </w:rPr>
        <w:t>rogressions</w:t>
      </w:r>
      <w:bookmarkEnd w:id="20"/>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830"/>
        <w:gridCol w:w="2824"/>
        <w:gridCol w:w="2851"/>
      </w:tblGrid>
      <w:tr w:rsidR="003C7DF7" w:rsidRPr="00277BEC" w14:paraId="468146DB" w14:textId="77777777" w:rsidTr="0081759A">
        <w:trPr>
          <w:tblCellSpacing w:w="20" w:type="dxa"/>
        </w:trPr>
        <w:tc>
          <w:tcPr>
            <w:tcW w:w="2874" w:type="dxa"/>
            <w:shd w:val="clear" w:color="auto" w:fill="auto"/>
          </w:tcPr>
          <w:p w14:paraId="7B7853C1" w14:textId="77777777" w:rsidR="003C7DF7" w:rsidRPr="00277BEC" w:rsidRDefault="003C7DF7" w:rsidP="00953A79">
            <w:pPr>
              <w:pStyle w:val="Tabletext"/>
            </w:pPr>
          </w:p>
        </w:tc>
        <w:tc>
          <w:tcPr>
            <w:tcW w:w="2875" w:type="dxa"/>
            <w:shd w:val="clear" w:color="auto" w:fill="auto"/>
          </w:tcPr>
          <w:p w14:paraId="5232029B" w14:textId="77777777" w:rsidR="003C7DF7" w:rsidRPr="00277BEC" w:rsidRDefault="003C7DF7" w:rsidP="00953A79">
            <w:pPr>
              <w:pStyle w:val="Tabletext"/>
            </w:pPr>
            <w:r w:rsidRPr="00277BEC">
              <w:t>Reading</w:t>
            </w:r>
          </w:p>
        </w:tc>
        <w:tc>
          <w:tcPr>
            <w:tcW w:w="2875" w:type="dxa"/>
            <w:shd w:val="clear" w:color="auto" w:fill="auto"/>
          </w:tcPr>
          <w:p w14:paraId="639AD8EF" w14:textId="77777777" w:rsidR="003C7DF7" w:rsidRPr="00277BEC" w:rsidRDefault="003C7DF7" w:rsidP="00953A79">
            <w:pPr>
              <w:pStyle w:val="Tabletext"/>
            </w:pPr>
            <w:r w:rsidRPr="00277BEC">
              <w:t>Numeracy</w:t>
            </w:r>
          </w:p>
        </w:tc>
      </w:tr>
      <w:tr w:rsidR="003C7DF7" w:rsidRPr="00277BEC" w14:paraId="406A58B6" w14:textId="77777777" w:rsidTr="0081759A">
        <w:trPr>
          <w:tblCellSpacing w:w="20" w:type="dxa"/>
        </w:trPr>
        <w:tc>
          <w:tcPr>
            <w:tcW w:w="2874" w:type="dxa"/>
            <w:shd w:val="clear" w:color="auto" w:fill="auto"/>
          </w:tcPr>
          <w:p w14:paraId="688806F7" w14:textId="77777777" w:rsidR="003C7DF7" w:rsidRPr="00277BEC" w:rsidRDefault="003C7DF7" w:rsidP="00953A79">
            <w:pPr>
              <w:pStyle w:val="Tabletext"/>
            </w:pPr>
            <w:r w:rsidRPr="00277BEC">
              <w:t>Step 1</w:t>
            </w:r>
          </w:p>
        </w:tc>
        <w:tc>
          <w:tcPr>
            <w:tcW w:w="2875" w:type="dxa"/>
            <w:shd w:val="clear" w:color="auto" w:fill="auto"/>
          </w:tcPr>
          <w:p w14:paraId="45800F8A" w14:textId="77777777" w:rsidR="003C7DF7" w:rsidRPr="00277BEC" w:rsidRDefault="003C7DF7" w:rsidP="00953A79">
            <w:pPr>
              <w:pStyle w:val="Tabletext"/>
            </w:pPr>
            <w:r w:rsidRPr="00277BEC">
              <w:t>Up to 431</w:t>
            </w:r>
          </w:p>
        </w:tc>
        <w:tc>
          <w:tcPr>
            <w:tcW w:w="2875" w:type="dxa"/>
            <w:shd w:val="clear" w:color="auto" w:fill="auto"/>
          </w:tcPr>
          <w:p w14:paraId="5CE10ADB" w14:textId="77777777" w:rsidR="003C7DF7" w:rsidRPr="00277BEC" w:rsidRDefault="003C7DF7" w:rsidP="00953A79">
            <w:pPr>
              <w:pStyle w:val="Tabletext"/>
            </w:pPr>
            <w:r w:rsidRPr="00277BEC">
              <w:t>Up to 396</w:t>
            </w:r>
          </w:p>
        </w:tc>
      </w:tr>
      <w:tr w:rsidR="003C7DF7" w:rsidRPr="00277BEC" w14:paraId="54E091B0" w14:textId="77777777" w:rsidTr="0081759A">
        <w:trPr>
          <w:tblCellSpacing w:w="20" w:type="dxa"/>
        </w:trPr>
        <w:tc>
          <w:tcPr>
            <w:tcW w:w="2874" w:type="dxa"/>
            <w:shd w:val="clear" w:color="auto" w:fill="auto"/>
          </w:tcPr>
          <w:p w14:paraId="4ADA2033" w14:textId="77777777" w:rsidR="003C7DF7" w:rsidRPr="00277BEC" w:rsidRDefault="003C7DF7" w:rsidP="00953A79">
            <w:pPr>
              <w:pStyle w:val="Tabletext"/>
            </w:pPr>
            <w:r w:rsidRPr="00277BEC">
              <w:t>Step 2</w:t>
            </w:r>
          </w:p>
        </w:tc>
        <w:tc>
          <w:tcPr>
            <w:tcW w:w="2875" w:type="dxa"/>
            <w:shd w:val="clear" w:color="auto" w:fill="auto"/>
          </w:tcPr>
          <w:p w14:paraId="2D121574" w14:textId="77777777" w:rsidR="003C7DF7" w:rsidRPr="00277BEC" w:rsidRDefault="003C7DF7" w:rsidP="00953A79">
            <w:pPr>
              <w:pStyle w:val="Tabletext"/>
            </w:pPr>
            <w:r w:rsidRPr="00277BEC">
              <w:t>432-523</w:t>
            </w:r>
          </w:p>
        </w:tc>
        <w:tc>
          <w:tcPr>
            <w:tcW w:w="2875" w:type="dxa"/>
            <w:shd w:val="clear" w:color="auto" w:fill="auto"/>
          </w:tcPr>
          <w:p w14:paraId="29CDBD36" w14:textId="77777777" w:rsidR="003C7DF7" w:rsidRPr="00277BEC" w:rsidRDefault="003C7DF7" w:rsidP="00953A79">
            <w:pPr>
              <w:pStyle w:val="Tabletext"/>
            </w:pPr>
            <w:r w:rsidRPr="00277BEC">
              <w:t>397-464</w:t>
            </w:r>
          </w:p>
        </w:tc>
      </w:tr>
      <w:tr w:rsidR="003C7DF7" w:rsidRPr="00277BEC" w14:paraId="43750D1F" w14:textId="77777777" w:rsidTr="0081759A">
        <w:trPr>
          <w:tblCellSpacing w:w="20" w:type="dxa"/>
        </w:trPr>
        <w:tc>
          <w:tcPr>
            <w:tcW w:w="2874" w:type="dxa"/>
            <w:shd w:val="clear" w:color="auto" w:fill="auto"/>
          </w:tcPr>
          <w:p w14:paraId="4641FB4F" w14:textId="77777777" w:rsidR="003C7DF7" w:rsidRPr="00277BEC" w:rsidRDefault="003C7DF7" w:rsidP="00953A79">
            <w:pPr>
              <w:pStyle w:val="Tabletext"/>
            </w:pPr>
            <w:r w:rsidRPr="00277BEC">
              <w:t>Step 3</w:t>
            </w:r>
          </w:p>
        </w:tc>
        <w:tc>
          <w:tcPr>
            <w:tcW w:w="2875" w:type="dxa"/>
            <w:shd w:val="clear" w:color="auto" w:fill="auto"/>
          </w:tcPr>
          <w:p w14:paraId="6C52CE87" w14:textId="77777777" w:rsidR="003C7DF7" w:rsidRPr="00277BEC" w:rsidRDefault="003C7DF7" w:rsidP="00953A79">
            <w:pPr>
              <w:pStyle w:val="Tabletext"/>
            </w:pPr>
            <w:r w:rsidRPr="00277BEC">
              <w:t>524-608</w:t>
            </w:r>
          </w:p>
        </w:tc>
        <w:tc>
          <w:tcPr>
            <w:tcW w:w="2875" w:type="dxa"/>
            <w:shd w:val="clear" w:color="auto" w:fill="auto"/>
          </w:tcPr>
          <w:p w14:paraId="3FCA0029" w14:textId="77777777" w:rsidR="003C7DF7" w:rsidRPr="00277BEC" w:rsidRDefault="003C7DF7" w:rsidP="00953A79">
            <w:pPr>
              <w:pStyle w:val="Tabletext"/>
            </w:pPr>
            <w:r w:rsidRPr="00277BEC">
              <w:t>465-528</w:t>
            </w:r>
          </w:p>
        </w:tc>
      </w:tr>
      <w:tr w:rsidR="003C7DF7" w:rsidRPr="00277BEC" w14:paraId="137A50E7" w14:textId="77777777" w:rsidTr="0081759A">
        <w:trPr>
          <w:tblCellSpacing w:w="20" w:type="dxa"/>
        </w:trPr>
        <w:tc>
          <w:tcPr>
            <w:tcW w:w="2874" w:type="dxa"/>
            <w:shd w:val="clear" w:color="auto" w:fill="auto"/>
          </w:tcPr>
          <w:p w14:paraId="7C852B23" w14:textId="77777777" w:rsidR="003C7DF7" w:rsidRPr="00277BEC" w:rsidRDefault="003C7DF7" w:rsidP="00953A79">
            <w:pPr>
              <w:pStyle w:val="Tabletext"/>
            </w:pPr>
            <w:r w:rsidRPr="00277BEC">
              <w:t>Step 4</w:t>
            </w:r>
          </w:p>
        </w:tc>
        <w:tc>
          <w:tcPr>
            <w:tcW w:w="2875" w:type="dxa"/>
            <w:shd w:val="clear" w:color="auto" w:fill="auto"/>
          </w:tcPr>
          <w:p w14:paraId="1BD4C57E" w14:textId="77777777" w:rsidR="003C7DF7" w:rsidRPr="00277BEC" w:rsidRDefault="003C7DF7" w:rsidP="00953A79">
            <w:pPr>
              <w:pStyle w:val="Tabletext"/>
            </w:pPr>
            <w:r w:rsidRPr="00277BEC">
              <w:t>609-681</w:t>
            </w:r>
          </w:p>
        </w:tc>
        <w:tc>
          <w:tcPr>
            <w:tcW w:w="2875" w:type="dxa"/>
            <w:shd w:val="clear" w:color="auto" w:fill="auto"/>
          </w:tcPr>
          <w:p w14:paraId="4CA93C47" w14:textId="77777777" w:rsidR="003C7DF7" w:rsidRPr="00277BEC" w:rsidRDefault="003C7DF7" w:rsidP="00953A79">
            <w:pPr>
              <w:pStyle w:val="Tabletext"/>
            </w:pPr>
            <w:r w:rsidRPr="00277BEC">
              <w:t>529-603</w:t>
            </w:r>
          </w:p>
        </w:tc>
      </w:tr>
      <w:tr w:rsidR="003C7DF7" w:rsidRPr="00277BEC" w14:paraId="72FC34BF" w14:textId="77777777" w:rsidTr="0081759A">
        <w:trPr>
          <w:tblCellSpacing w:w="20" w:type="dxa"/>
        </w:trPr>
        <w:tc>
          <w:tcPr>
            <w:tcW w:w="2874" w:type="dxa"/>
            <w:shd w:val="clear" w:color="auto" w:fill="auto"/>
          </w:tcPr>
          <w:p w14:paraId="567E70FA" w14:textId="77777777" w:rsidR="003C7DF7" w:rsidRPr="00277BEC" w:rsidRDefault="003C7DF7" w:rsidP="00953A79">
            <w:pPr>
              <w:pStyle w:val="Tabletext"/>
            </w:pPr>
            <w:r w:rsidRPr="00277BEC">
              <w:t>Step 5</w:t>
            </w:r>
          </w:p>
        </w:tc>
        <w:tc>
          <w:tcPr>
            <w:tcW w:w="2875" w:type="dxa"/>
            <w:shd w:val="clear" w:color="auto" w:fill="auto"/>
          </w:tcPr>
          <w:p w14:paraId="4BC11677" w14:textId="77777777" w:rsidR="003C7DF7" w:rsidRPr="00277BEC" w:rsidRDefault="003C7DF7" w:rsidP="00953A79">
            <w:pPr>
              <w:pStyle w:val="Tabletext"/>
            </w:pPr>
            <w:r w:rsidRPr="00277BEC">
              <w:t>682-738</w:t>
            </w:r>
          </w:p>
        </w:tc>
        <w:tc>
          <w:tcPr>
            <w:tcW w:w="2875" w:type="dxa"/>
            <w:shd w:val="clear" w:color="auto" w:fill="auto"/>
          </w:tcPr>
          <w:p w14:paraId="49879F6F" w14:textId="77777777" w:rsidR="003C7DF7" w:rsidRPr="00277BEC" w:rsidRDefault="003C7DF7" w:rsidP="00953A79">
            <w:pPr>
              <w:pStyle w:val="Tabletext"/>
            </w:pPr>
            <w:r w:rsidRPr="00277BEC">
              <w:t>604-689</w:t>
            </w:r>
          </w:p>
        </w:tc>
      </w:tr>
      <w:tr w:rsidR="003C7DF7" w:rsidRPr="00277BEC" w14:paraId="3CDF3F96" w14:textId="77777777" w:rsidTr="0081759A">
        <w:trPr>
          <w:tblCellSpacing w:w="20" w:type="dxa"/>
        </w:trPr>
        <w:tc>
          <w:tcPr>
            <w:tcW w:w="2874" w:type="dxa"/>
            <w:shd w:val="clear" w:color="auto" w:fill="auto"/>
          </w:tcPr>
          <w:p w14:paraId="508071E8" w14:textId="77777777" w:rsidR="003C7DF7" w:rsidRPr="00277BEC" w:rsidRDefault="003C7DF7" w:rsidP="00953A79">
            <w:pPr>
              <w:pStyle w:val="Tabletext"/>
            </w:pPr>
            <w:r w:rsidRPr="00277BEC">
              <w:t>Step 6</w:t>
            </w:r>
          </w:p>
        </w:tc>
        <w:tc>
          <w:tcPr>
            <w:tcW w:w="2875" w:type="dxa"/>
            <w:shd w:val="clear" w:color="auto" w:fill="auto"/>
          </w:tcPr>
          <w:p w14:paraId="6A9EA81F" w14:textId="77777777" w:rsidR="003C7DF7" w:rsidRPr="00277BEC" w:rsidRDefault="003C7DF7" w:rsidP="00953A79">
            <w:pPr>
              <w:pStyle w:val="Tabletext"/>
            </w:pPr>
            <w:r w:rsidRPr="00277BEC">
              <w:t>739 and over</w:t>
            </w:r>
          </w:p>
        </w:tc>
        <w:tc>
          <w:tcPr>
            <w:tcW w:w="2875" w:type="dxa"/>
            <w:shd w:val="clear" w:color="auto" w:fill="auto"/>
          </w:tcPr>
          <w:p w14:paraId="63A49B1B" w14:textId="77777777" w:rsidR="003C7DF7" w:rsidRPr="00277BEC" w:rsidRDefault="003C7DF7" w:rsidP="00953A79">
            <w:pPr>
              <w:pStyle w:val="Tabletext"/>
            </w:pPr>
            <w:r w:rsidRPr="00277BEC">
              <w:t>690 and over</w:t>
            </w:r>
          </w:p>
        </w:tc>
      </w:tr>
    </w:tbl>
    <w:p w14:paraId="5B974318" w14:textId="77777777" w:rsidR="005436AC" w:rsidRPr="00277BEC" w:rsidRDefault="005436AC" w:rsidP="005436AC">
      <w:pPr>
        <w:pStyle w:val="Heading3"/>
        <w:rPr>
          <w:rFonts w:cs="Arial"/>
        </w:rPr>
      </w:pPr>
      <w:bookmarkStart w:id="21" w:name="_Toc264282836"/>
      <w:r w:rsidRPr="00277BEC">
        <w:rPr>
          <w:rFonts w:cs="Arial"/>
        </w:rPr>
        <w:t>The literacy and numeracy requirements for NCEA</w:t>
      </w:r>
      <w:bookmarkEnd w:id="21"/>
    </w:p>
    <w:p w14:paraId="54F5D53F" w14:textId="77777777" w:rsidR="00E25515" w:rsidRPr="00277BEC" w:rsidRDefault="00A65A60" w:rsidP="00C54094">
      <w:pPr>
        <w:pStyle w:val="BodyText"/>
        <w:jc w:val="left"/>
        <w:rPr>
          <w:rFonts w:ascii="Arial" w:hAnsi="Arial" w:cs="Arial"/>
          <w:lang w:val="en-US"/>
        </w:rPr>
      </w:pPr>
      <w:r w:rsidRPr="00277BEC">
        <w:rPr>
          <w:rFonts w:ascii="Arial" w:hAnsi="Arial" w:cs="Arial"/>
          <w:lang w:val="en-US"/>
        </w:rPr>
        <w:t>The third measure used in this report is the literacy and numeracy requirements for NCEA</w:t>
      </w:r>
      <w:r w:rsidR="008E3635" w:rsidRPr="00277BEC">
        <w:rPr>
          <w:rFonts w:ascii="Arial" w:hAnsi="Arial" w:cs="Arial"/>
          <w:lang w:val="en-US"/>
        </w:rPr>
        <w:t xml:space="preserve"> </w:t>
      </w:r>
      <w:r w:rsidR="00E15BBD" w:rsidRPr="00277BEC">
        <w:rPr>
          <w:rFonts w:ascii="Arial" w:hAnsi="Arial" w:cs="Arial"/>
          <w:lang w:val="en-US"/>
        </w:rPr>
        <w:t>(</w:t>
      </w:r>
      <w:r w:rsidR="006C6988" w:rsidRPr="00277BEC">
        <w:rPr>
          <w:rFonts w:ascii="Arial" w:hAnsi="Arial" w:cs="Arial"/>
        </w:rPr>
        <w:t xml:space="preserve">NZQA, </w:t>
      </w:r>
      <w:proofErr w:type="spellStart"/>
      <w:r w:rsidR="006C6988" w:rsidRPr="00277BEC">
        <w:rPr>
          <w:rFonts w:ascii="Arial" w:hAnsi="Arial" w:cs="Arial"/>
        </w:rPr>
        <w:t>n.d.</w:t>
      </w:r>
      <w:proofErr w:type="spellEnd"/>
      <w:r w:rsidR="00E15BBD" w:rsidRPr="00277BEC">
        <w:rPr>
          <w:rFonts w:ascii="Arial" w:hAnsi="Arial" w:cs="Arial"/>
        </w:rPr>
        <w:t xml:space="preserve">). </w:t>
      </w:r>
      <w:r w:rsidRPr="00277BEC">
        <w:rPr>
          <w:rFonts w:ascii="Arial" w:hAnsi="Arial" w:cs="Arial"/>
          <w:lang w:val="en-US"/>
        </w:rPr>
        <w:t xml:space="preserve">In order to attain </w:t>
      </w:r>
      <w:r w:rsidR="00C66A71" w:rsidRPr="00277BEC">
        <w:rPr>
          <w:rFonts w:ascii="Arial" w:hAnsi="Arial" w:cs="Arial"/>
          <w:lang w:val="en-US"/>
        </w:rPr>
        <w:t>a</w:t>
      </w:r>
      <w:r w:rsidRPr="00277BEC">
        <w:rPr>
          <w:rFonts w:ascii="Arial" w:hAnsi="Arial" w:cs="Arial"/>
          <w:lang w:val="en-US"/>
        </w:rPr>
        <w:t xml:space="preserve"> NCEA qualification, students must meet both the literacy and numeracy requirements. </w:t>
      </w:r>
      <w:r w:rsidR="00B466AE" w:rsidRPr="00277BEC">
        <w:rPr>
          <w:rFonts w:ascii="Arial" w:hAnsi="Arial" w:cs="Arial"/>
          <w:lang w:val="en-US"/>
        </w:rPr>
        <w:t>The New Zealand Qualifications Authority (</w:t>
      </w:r>
      <w:r w:rsidRPr="00277BEC">
        <w:rPr>
          <w:rFonts w:ascii="Arial" w:hAnsi="Arial" w:cs="Arial"/>
          <w:lang w:val="en-US"/>
        </w:rPr>
        <w:t>NZQA</w:t>
      </w:r>
      <w:r w:rsidR="00B466AE" w:rsidRPr="00277BEC">
        <w:rPr>
          <w:rFonts w:ascii="Arial" w:hAnsi="Arial" w:cs="Arial"/>
          <w:lang w:val="en-US"/>
        </w:rPr>
        <w:t>)</w:t>
      </w:r>
      <w:r w:rsidRPr="00277BEC">
        <w:rPr>
          <w:rFonts w:ascii="Arial" w:hAnsi="Arial" w:cs="Arial"/>
          <w:lang w:val="en-US"/>
        </w:rPr>
        <w:t xml:space="preserve"> has recently revised these requirements, with the changes first coming into effect in 2011. </w:t>
      </w:r>
      <w:r w:rsidR="000F437F" w:rsidRPr="00277BEC">
        <w:rPr>
          <w:rFonts w:ascii="Arial" w:hAnsi="Arial" w:cs="Arial"/>
          <w:lang w:val="en-US"/>
        </w:rPr>
        <w:t xml:space="preserve">There were two transition years in which the requirements could be met either by the old regulations, or by either of the two new </w:t>
      </w:r>
      <w:r w:rsidR="00F850C6" w:rsidRPr="00277BEC">
        <w:rPr>
          <w:rFonts w:ascii="Arial" w:hAnsi="Arial" w:cs="Arial"/>
          <w:lang w:val="en-US"/>
        </w:rPr>
        <w:t>pathways</w:t>
      </w:r>
      <w:r w:rsidR="000F437F" w:rsidRPr="00277BEC">
        <w:rPr>
          <w:rFonts w:ascii="Arial" w:hAnsi="Arial" w:cs="Arial"/>
          <w:lang w:val="en-US"/>
        </w:rPr>
        <w:t xml:space="preserve"> that were introduced. These transition yea</w:t>
      </w:r>
      <w:r w:rsidR="00F850C6" w:rsidRPr="00277BEC">
        <w:rPr>
          <w:rFonts w:ascii="Arial" w:hAnsi="Arial" w:cs="Arial"/>
          <w:lang w:val="en-US"/>
        </w:rPr>
        <w:t xml:space="preserve">rs were 2011 and 2012, and </w:t>
      </w:r>
      <w:r w:rsidR="001A6C13" w:rsidRPr="00277BEC">
        <w:rPr>
          <w:rFonts w:ascii="Arial" w:hAnsi="Arial" w:cs="Arial"/>
          <w:lang w:val="en-US"/>
        </w:rPr>
        <w:t xml:space="preserve">some of </w:t>
      </w:r>
      <w:r w:rsidR="00F850C6" w:rsidRPr="00277BEC">
        <w:rPr>
          <w:rFonts w:ascii="Arial" w:hAnsi="Arial" w:cs="Arial"/>
          <w:lang w:val="en-US"/>
        </w:rPr>
        <w:t>the data for this project is drawn from these years.</w:t>
      </w:r>
    </w:p>
    <w:p w14:paraId="7602B071" w14:textId="5AABDEED" w:rsidR="002F3194" w:rsidRPr="00277BEC" w:rsidRDefault="00E25515" w:rsidP="00C54094">
      <w:pPr>
        <w:pStyle w:val="BodyText"/>
        <w:jc w:val="left"/>
        <w:rPr>
          <w:rFonts w:ascii="Arial" w:hAnsi="Arial" w:cs="Arial"/>
          <w:lang w:val="en-US"/>
        </w:rPr>
      </w:pPr>
      <w:r w:rsidRPr="00277BEC">
        <w:rPr>
          <w:rFonts w:ascii="Arial" w:hAnsi="Arial" w:cs="Arial"/>
          <w:lang w:val="en-US"/>
        </w:rPr>
        <w:t xml:space="preserve">The two new pathways for meeting the NCEA literacy and numeracy requirements are the achievement standard pathway and the unit standard pathway. The achievement standard pathway requires students to obtain 10 credits </w:t>
      </w:r>
      <w:r w:rsidR="006641EA" w:rsidRPr="00277BEC">
        <w:rPr>
          <w:rFonts w:ascii="Arial" w:hAnsi="Arial" w:cs="Arial"/>
          <w:lang w:val="en-US"/>
        </w:rPr>
        <w:t>for</w:t>
      </w:r>
      <w:r w:rsidRPr="00277BEC">
        <w:rPr>
          <w:rFonts w:ascii="Arial" w:hAnsi="Arial" w:cs="Arial"/>
          <w:lang w:val="en-US"/>
        </w:rPr>
        <w:t xml:space="preserve"> each of literacy and numeracy from prescribed lists of achievement standards that are deemed to have a substantial literacy or numeracy demand. </w:t>
      </w:r>
      <w:r w:rsidR="006641EA" w:rsidRPr="00277BEC">
        <w:rPr>
          <w:rFonts w:ascii="Arial" w:hAnsi="Arial" w:cs="Arial"/>
          <w:lang w:val="en-US"/>
        </w:rPr>
        <w:t>The focus of these achievement standards is varied and there is no</w:t>
      </w:r>
      <w:r w:rsidR="000F436D" w:rsidRPr="00277BEC">
        <w:rPr>
          <w:rFonts w:ascii="Arial" w:hAnsi="Arial" w:cs="Arial"/>
          <w:lang w:val="en-US"/>
        </w:rPr>
        <w:t>t necessarily any</w:t>
      </w:r>
      <w:r w:rsidR="006641EA" w:rsidRPr="00277BEC">
        <w:rPr>
          <w:rFonts w:ascii="Arial" w:hAnsi="Arial" w:cs="Arial"/>
          <w:lang w:val="en-US"/>
        </w:rPr>
        <w:t xml:space="preserve"> direct assessment of students’ literacy and numeracy skills under the achievement standard pathway. </w:t>
      </w:r>
      <w:r w:rsidRPr="00277BEC">
        <w:rPr>
          <w:rFonts w:ascii="Arial" w:hAnsi="Arial" w:cs="Arial"/>
          <w:lang w:val="en-US"/>
        </w:rPr>
        <w:t>The unit standard pathway requires students to comple</w:t>
      </w:r>
      <w:r w:rsidR="001A6C13" w:rsidRPr="00277BEC">
        <w:rPr>
          <w:rFonts w:ascii="Arial" w:hAnsi="Arial" w:cs="Arial"/>
          <w:lang w:val="en-US"/>
        </w:rPr>
        <w:t xml:space="preserve">te </w:t>
      </w:r>
      <w:r w:rsidRPr="00277BEC">
        <w:rPr>
          <w:rFonts w:ascii="Arial" w:hAnsi="Arial" w:cs="Arial"/>
          <w:lang w:val="en-US"/>
        </w:rPr>
        <w:t>three specific unit standards for each of literacy and numeracy. Each collection of unit standards has a value of 10 credits</w:t>
      </w:r>
      <w:r w:rsidR="000F436D" w:rsidRPr="00277BEC">
        <w:rPr>
          <w:rFonts w:ascii="Arial" w:hAnsi="Arial" w:cs="Arial"/>
          <w:lang w:val="en-US"/>
        </w:rPr>
        <w:t xml:space="preserve"> </w:t>
      </w:r>
      <w:r w:rsidR="002F3194" w:rsidRPr="00277BEC">
        <w:rPr>
          <w:rFonts w:ascii="Arial" w:hAnsi="Arial" w:cs="Arial"/>
          <w:lang w:val="en-US"/>
        </w:rPr>
        <w:t xml:space="preserve">that are assessed </w:t>
      </w:r>
      <w:r w:rsidR="000F436D" w:rsidRPr="00277BEC">
        <w:rPr>
          <w:rFonts w:ascii="Arial" w:hAnsi="Arial" w:cs="Arial"/>
          <w:lang w:val="en-US"/>
        </w:rPr>
        <w:t>based on “naturally occurring</w:t>
      </w:r>
      <w:r w:rsidR="002F3194" w:rsidRPr="00277BEC">
        <w:rPr>
          <w:rFonts w:ascii="Arial" w:hAnsi="Arial" w:cs="Arial"/>
          <w:lang w:val="en-US"/>
        </w:rPr>
        <w:t xml:space="preserve"> evidence”, that is, evidence from their regular programme of study as opposed to specific literacy or numeracy tasks</w:t>
      </w:r>
      <w:r w:rsidR="00F53BE1" w:rsidRPr="00277BEC">
        <w:rPr>
          <w:rFonts w:ascii="Arial" w:hAnsi="Arial" w:cs="Arial"/>
          <w:lang w:val="en-US"/>
        </w:rPr>
        <w:t xml:space="preserve"> (NZQA, 2011)</w:t>
      </w:r>
      <w:r w:rsidR="002F3194" w:rsidRPr="00277BEC">
        <w:rPr>
          <w:rFonts w:ascii="Arial" w:hAnsi="Arial" w:cs="Arial"/>
          <w:lang w:val="en-US"/>
        </w:rPr>
        <w:t>.</w:t>
      </w:r>
    </w:p>
    <w:p w14:paraId="6037E818" w14:textId="5804331E" w:rsidR="00E25515" w:rsidRPr="00277BEC" w:rsidRDefault="00E25515" w:rsidP="00C54094">
      <w:pPr>
        <w:pStyle w:val="BodyText"/>
        <w:jc w:val="left"/>
        <w:rPr>
          <w:rFonts w:ascii="Arial" w:hAnsi="Arial" w:cs="Arial"/>
          <w:lang w:val="en-US"/>
        </w:rPr>
      </w:pPr>
      <w:r w:rsidRPr="00277BEC">
        <w:rPr>
          <w:rFonts w:ascii="Arial" w:hAnsi="Arial" w:cs="Arial"/>
          <w:lang w:val="en-US"/>
        </w:rPr>
        <w:t xml:space="preserve">Under the old regulations students needed to attain </w:t>
      </w:r>
      <w:r w:rsidR="00C54094">
        <w:rPr>
          <w:rFonts w:ascii="Arial" w:hAnsi="Arial" w:cs="Arial"/>
          <w:lang w:val="en-US"/>
        </w:rPr>
        <w:t>eight</w:t>
      </w:r>
      <w:r w:rsidR="00C54094" w:rsidRPr="00277BEC">
        <w:rPr>
          <w:rFonts w:ascii="Arial" w:hAnsi="Arial" w:cs="Arial"/>
          <w:lang w:val="en-US"/>
        </w:rPr>
        <w:t xml:space="preserve"> </w:t>
      </w:r>
      <w:r w:rsidRPr="00277BEC">
        <w:rPr>
          <w:rFonts w:ascii="Arial" w:hAnsi="Arial" w:cs="Arial"/>
          <w:lang w:val="en-US"/>
        </w:rPr>
        <w:t xml:space="preserve">literacy credits from English or Reo Māori and </w:t>
      </w:r>
      <w:r w:rsidR="00C54094">
        <w:rPr>
          <w:rFonts w:ascii="Arial" w:hAnsi="Arial" w:cs="Arial"/>
          <w:lang w:val="en-US"/>
        </w:rPr>
        <w:t>eight</w:t>
      </w:r>
      <w:r w:rsidR="00C54094" w:rsidRPr="00277BEC">
        <w:rPr>
          <w:rFonts w:ascii="Arial" w:hAnsi="Arial" w:cs="Arial"/>
          <w:lang w:val="en-US"/>
        </w:rPr>
        <w:t xml:space="preserve"> </w:t>
      </w:r>
      <w:r w:rsidRPr="00277BEC">
        <w:rPr>
          <w:rFonts w:ascii="Arial" w:hAnsi="Arial" w:cs="Arial"/>
          <w:lang w:val="en-US"/>
        </w:rPr>
        <w:t xml:space="preserve">numeracy credits from Mathematics, </w:t>
      </w:r>
      <w:r w:rsidR="00CB56E1" w:rsidRPr="00277BEC">
        <w:rPr>
          <w:rFonts w:ascii="Arial" w:hAnsi="Arial" w:cs="Arial"/>
          <w:lang w:val="en-US"/>
        </w:rPr>
        <w:t xml:space="preserve">Statistics and Probability or </w:t>
      </w:r>
      <w:proofErr w:type="spellStart"/>
      <w:r w:rsidR="00CB56E1" w:rsidRPr="00277BEC">
        <w:rPr>
          <w:rFonts w:ascii="Arial" w:hAnsi="Arial" w:cs="Arial"/>
          <w:lang w:val="en-US"/>
        </w:rPr>
        <w:t>Pā</w:t>
      </w:r>
      <w:r w:rsidRPr="00277BEC">
        <w:rPr>
          <w:rFonts w:ascii="Arial" w:hAnsi="Arial" w:cs="Arial"/>
          <w:lang w:val="en-US"/>
        </w:rPr>
        <w:t>ngarau</w:t>
      </w:r>
      <w:proofErr w:type="spellEnd"/>
      <w:r w:rsidR="00C54094">
        <w:rPr>
          <w:rFonts w:ascii="Arial" w:hAnsi="Arial" w:cs="Arial"/>
          <w:lang w:val="en-US"/>
        </w:rPr>
        <w:t>,</w:t>
      </w:r>
      <w:r w:rsidRPr="00277BEC">
        <w:rPr>
          <w:rFonts w:ascii="Arial" w:hAnsi="Arial" w:cs="Arial"/>
          <w:lang w:val="en-US"/>
        </w:rPr>
        <w:t xml:space="preserve"> in order to meet the requirement. A variety of unit and achievement standards could be used to accumulate these credits. </w:t>
      </w:r>
    </w:p>
    <w:p w14:paraId="5BCFC319" w14:textId="77777777" w:rsidR="00E25515" w:rsidRPr="00277BEC" w:rsidRDefault="00E25515" w:rsidP="00C54094">
      <w:pPr>
        <w:pStyle w:val="BodyText"/>
        <w:jc w:val="left"/>
        <w:rPr>
          <w:rFonts w:ascii="Arial" w:hAnsi="Arial" w:cs="Arial"/>
          <w:lang w:val="en-US"/>
        </w:rPr>
      </w:pPr>
      <w:r w:rsidRPr="00277BEC">
        <w:rPr>
          <w:rFonts w:ascii="Arial" w:hAnsi="Arial" w:cs="Arial"/>
          <w:lang w:val="en-US"/>
        </w:rPr>
        <w:t xml:space="preserve">Each of the new unit and achievement standards pathways </w:t>
      </w:r>
      <w:r w:rsidR="00CB7957" w:rsidRPr="00277BEC">
        <w:rPr>
          <w:rFonts w:ascii="Arial" w:hAnsi="Arial" w:cs="Arial"/>
          <w:lang w:val="en-US"/>
        </w:rPr>
        <w:t>to the literacy and numeracy requirements has a different focus</w:t>
      </w:r>
      <w:r w:rsidRPr="00277BEC">
        <w:rPr>
          <w:rFonts w:ascii="Arial" w:hAnsi="Arial" w:cs="Arial"/>
          <w:lang w:val="en-US"/>
        </w:rPr>
        <w:t>. The achievement standard</w:t>
      </w:r>
      <w:r w:rsidR="00CB7957" w:rsidRPr="00277BEC">
        <w:rPr>
          <w:rFonts w:ascii="Arial" w:hAnsi="Arial" w:cs="Arial"/>
          <w:lang w:val="en-US"/>
        </w:rPr>
        <w:t xml:space="preserve"> pathway </w:t>
      </w:r>
      <w:r w:rsidR="00CB7957" w:rsidRPr="00277BEC">
        <w:rPr>
          <w:rFonts w:ascii="Arial" w:hAnsi="Arial" w:cs="Arial"/>
          <w:lang w:val="en-US"/>
        </w:rPr>
        <w:lastRenderedPageBreak/>
        <w:t>was developed to align with the New Zealand Curriculum</w:t>
      </w:r>
      <w:r w:rsidR="00E967D4" w:rsidRPr="00277BEC">
        <w:rPr>
          <w:rFonts w:ascii="Arial" w:hAnsi="Arial" w:cs="Arial"/>
          <w:lang w:val="en-US"/>
        </w:rPr>
        <w:t xml:space="preserve"> (NZC)</w:t>
      </w:r>
      <w:r w:rsidR="00CB7957" w:rsidRPr="00277BEC">
        <w:rPr>
          <w:rFonts w:ascii="Arial" w:hAnsi="Arial" w:cs="Arial"/>
          <w:lang w:val="en-US"/>
        </w:rPr>
        <w:t xml:space="preserve">, and in particular is aligned with </w:t>
      </w:r>
      <w:r w:rsidR="00F77A73" w:rsidRPr="00277BEC">
        <w:rPr>
          <w:rFonts w:ascii="Arial" w:hAnsi="Arial" w:cs="Arial"/>
          <w:lang w:val="en-US"/>
        </w:rPr>
        <w:t xml:space="preserve">curriculum </w:t>
      </w:r>
      <w:r w:rsidR="008234DB" w:rsidRPr="00277BEC">
        <w:rPr>
          <w:rFonts w:ascii="Arial" w:hAnsi="Arial" w:cs="Arial"/>
          <w:lang w:val="en-US"/>
        </w:rPr>
        <w:t>L</w:t>
      </w:r>
      <w:r w:rsidR="00CB7957" w:rsidRPr="00277BEC">
        <w:rPr>
          <w:rFonts w:ascii="Arial" w:hAnsi="Arial" w:cs="Arial"/>
          <w:lang w:val="en-US"/>
        </w:rPr>
        <w:t>evel 6.</w:t>
      </w:r>
      <w:r w:rsidRPr="00277BEC">
        <w:rPr>
          <w:rFonts w:ascii="Arial" w:hAnsi="Arial" w:cs="Arial"/>
          <w:lang w:val="en-US"/>
        </w:rPr>
        <w:t xml:space="preserve"> In comparison, the </w:t>
      </w:r>
      <w:r w:rsidR="006641EA" w:rsidRPr="00277BEC">
        <w:rPr>
          <w:rFonts w:ascii="Arial" w:hAnsi="Arial" w:cs="Arial"/>
          <w:lang w:val="en-US"/>
        </w:rPr>
        <w:t xml:space="preserve">collection of three </w:t>
      </w:r>
      <w:r w:rsidRPr="00277BEC">
        <w:rPr>
          <w:rFonts w:ascii="Arial" w:hAnsi="Arial" w:cs="Arial"/>
          <w:lang w:val="en-US"/>
        </w:rPr>
        <w:t xml:space="preserve">unit standards are </w:t>
      </w:r>
      <w:r w:rsidR="00CB7957" w:rsidRPr="00277BEC">
        <w:rPr>
          <w:rFonts w:ascii="Arial" w:hAnsi="Arial" w:cs="Arial"/>
          <w:lang w:val="en-US"/>
        </w:rPr>
        <w:t xml:space="preserve">not directly aligned to the </w:t>
      </w:r>
      <w:r w:rsidR="00E967D4" w:rsidRPr="00277BEC">
        <w:rPr>
          <w:rFonts w:ascii="Arial" w:hAnsi="Arial" w:cs="Arial"/>
          <w:lang w:val="en-US"/>
        </w:rPr>
        <w:t>NZC</w:t>
      </w:r>
      <w:r w:rsidR="00CB7957" w:rsidRPr="00277BEC">
        <w:rPr>
          <w:rFonts w:ascii="Arial" w:hAnsi="Arial" w:cs="Arial"/>
          <w:lang w:val="en-US"/>
        </w:rPr>
        <w:t xml:space="preserve">, and were designed for use in both secondary schools and tertiary workplace programmes. They support the principle of embedded literacy and numeracy and are focused on the </w:t>
      </w:r>
      <w:r w:rsidRPr="00277BEC">
        <w:rPr>
          <w:rFonts w:ascii="Arial" w:hAnsi="Arial" w:cs="Arial"/>
          <w:lang w:val="en-US"/>
        </w:rPr>
        <w:t>demands of adults</w:t>
      </w:r>
      <w:r w:rsidR="006641EA" w:rsidRPr="00277BEC">
        <w:rPr>
          <w:rFonts w:ascii="Arial" w:hAnsi="Arial" w:cs="Arial"/>
          <w:lang w:val="en-US"/>
        </w:rPr>
        <w:t>’</w:t>
      </w:r>
      <w:r w:rsidR="00CB7957" w:rsidRPr="00277BEC">
        <w:rPr>
          <w:rFonts w:ascii="Arial" w:hAnsi="Arial" w:cs="Arial"/>
          <w:lang w:val="en-US"/>
        </w:rPr>
        <w:t xml:space="preserve"> life and work. </w:t>
      </w:r>
    </w:p>
    <w:p w14:paraId="5FB5C1AF" w14:textId="77777777" w:rsidR="005436AC" w:rsidRPr="00277BEC" w:rsidRDefault="005436AC" w:rsidP="005436AC">
      <w:pPr>
        <w:pStyle w:val="Heading3"/>
        <w:rPr>
          <w:rFonts w:cs="Arial"/>
        </w:rPr>
      </w:pPr>
      <w:bookmarkStart w:id="22" w:name="_Toc264282837"/>
      <w:r w:rsidRPr="00277BEC">
        <w:rPr>
          <w:rFonts w:cs="Arial"/>
        </w:rPr>
        <w:t>The New Zealand Curriculum National Standards</w:t>
      </w:r>
      <w:bookmarkEnd w:id="22"/>
      <w:r w:rsidRPr="00277BEC">
        <w:rPr>
          <w:rFonts w:cs="Arial"/>
        </w:rPr>
        <w:t xml:space="preserve"> </w:t>
      </w:r>
    </w:p>
    <w:p w14:paraId="5AD44F82" w14:textId="77777777" w:rsidR="00DA2D2C" w:rsidRPr="00277BEC" w:rsidRDefault="006733B0" w:rsidP="00C54094">
      <w:pPr>
        <w:pStyle w:val="BodyText"/>
        <w:jc w:val="left"/>
        <w:rPr>
          <w:rFonts w:ascii="Arial" w:hAnsi="Arial" w:cs="Arial"/>
          <w:lang w:val="en-US"/>
        </w:rPr>
      </w:pPr>
      <w:r w:rsidRPr="00277BEC">
        <w:rPr>
          <w:rFonts w:ascii="Arial" w:hAnsi="Arial" w:cs="Arial"/>
          <w:lang w:val="en-US"/>
        </w:rPr>
        <w:t xml:space="preserve">The fourth measure used in this report </w:t>
      </w:r>
      <w:r w:rsidR="009270D7" w:rsidRPr="00277BEC">
        <w:rPr>
          <w:rFonts w:ascii="Arial" w:hAnsi="Arial" w:cs="Arial"/>
          <w:lang w:val="en-US"/>
        </w:rPr>
        <w:t>is the National Standards. The National Standards are descriptio</w:t>
      </w:r>
      <w:r w:rsidR="007C6944" w:rsidRPr="00277BEC">
        <w:rPr>
          <w:rFonts w:ascii="Arial" w:hAnsi="Arial" w:cs="Arial"/>
          <w:lang w:val="en-US"/>
        </w:rPr>
        <w:t>ns of what students should know</w:t>
      </w:r>
      <w:r w:rsidR="009270D7" w:rsidRPr="00277BEC">
        <w:rPr>
          <w:rFonts w:ascii="Arial" w:hAnsi="Arial" w:cs="Arial"/>
          <w:lang w:val="en-US"/>
        </w:rPr>
        <w:t xml:space="preserve"> and be able to do in order to meet the demands of the </w:t>
      </w:r>
      <w:r w:rsidR="00E967D4" w:rsidRPr="00277BEC">
        <w:rPr>
          <w:rFonts w:ascii="Arial" w:hAnsi="Arial" w:cs="Arial"/>
          <w:lang w:val="en-US"/>
        </w:rPr>
        <w:t>NZC</w:t>
      </w:r>
      <w:r w:rsidR="000B252B" w:rsidRPr="00277BEC">
        <w:rPr>
          <w:rFonts w:ascii="Arial" w:hAnsi="Arial" w:cs="Arial"/>
          <w:lang w:val="en-US"/>
        </w:rPr>
        <w:t xml:space="preserve"> (Ministry of Education, 2009a</w:t>
      </w:r>
      <w:r w:rsidR="009270D7" w:rsidRPr="00277BEC">
        <w:rPr>
          <w:rFonts w:ascii="Arial" w:hAnsi="Arial" w:cs="Arial"/>
          <w:lang w:val="en-US"/>
        </w:rPr>
        <w:t xml:space="preserve">). </w:t>
      </w:r>
      <w:r w:rsidR="007C6944" w:rsidRPr="00277BEC">
        <w:rPr>
          <w:rFonts w:ascii="Arial" w:hAnsi="Arial" w:cs="Arial"/>
          <w:lang w:val="en-US"/>
        </w:rPr>
        <w:t xml:space="preserve">The </w:t>
      </w:r>
      <w:r w:rsidR="00DA2D2C" w:rsidRPr="00277BEC">
        <w:rPr>
          <w:rFonts w:ascii="Arial" w:hAnsi="Arial" w:cs="Arial"/>
          <w:lang w:val="en-US"/>
        </w:rPr>
        <w:t xml:space="preserve">standards were designed to support teachers to assess their students’ achievement in relation to the curriculum and </w:t>
      </w:r>
      <w:r w:rsidR="007C6944" w:rsidRPr="00277BEC">
        <w:rPr>
          <w:rFonts w:ascii="Arial" w:hAnsi="Arial" w:cs="Arial"/>
          <w:lang w:val="en-US"/>
        </w:rPr>
        <w:t>describe what can reasonably be expected of most students at the en</w:t>
      </w:r>
      <w:r w:rsidR="00DA2D2C" w:rsidRPr="00277BEC">
        <w:rPr>
          <w:rFonts w:ascii="Arial" w:hAnsi="Arial" w:cs="Arial"/>
          <w:lang w:val="en-US"/>
        </w:rPr>
        <w:t>d of each year of schooling.</w:t>
      </w:r>
      <w:r w:rsidR="004D6BB4" w:rsidRPr="00277BEC">
        <w:rPr>
          <w:rFonts w:ascii="Arial" w:hAnsi="Arial" w:cs="Arial"/>
          <w:lang w:val="en-US"/>
        </w:rPr>
        <w:t xml:space="preserve"> The National Standards were designed so that a student who meets them is on track to succeed at NCEA Level 2. </w:t>
      </w:r>
    </w:p>
    <w:p w14:paraId="12481224" w14:textId="4D06DFE5" w:rsidR="00324789" w:rsidRPr="00277BEC" w:rsidRDefault="006B2A7E" w:rsidP="00C54094">
      <w:pPr>
        <w:pStyle w:val="BodyText"/>
        <w:jc w:val="left"/>
        <w:rPr>
          <w:rFonts w:ascii="Arial" w:hAnsi="Arial" w:cs="Arial"/>
          <w:lang w:val="en-US"/>
        </w:rPr>
      </w:pPr>
      <w:r w:rsidRPr="00277BEC">
        <w:rPr>
          <w:rFonts w:ascii="Arial" w:hAnsi="Arial" w:cs="Arial"/>
          <w:lang w:val="en-US"/>
        </w:rPr>
        <w:t>Teachers make Overall Teacher Judgments (OTJs) of students’ achievement in relation to the National Standards.</w:t>
      </w:r>
      <w:r w:rsidR="00324789" w:rsidRPr="00277BEC">
        <w:rPr>
          <w:rFonts w:ascii="Arial" w:hAnsi="Arial" w:cs="Arial"/>
          <w:lang w:val="en-US"/>
        </w:rPr>
        <w:t xml:space="preserve"> </w:t>
      </w:r>
      <w:r w:rsidRPr="00277BEC">
        <w:rPr>
          <w:rFonts w:ascii="Arial" w:hAnsi="Arial" w:cs="Arial"/>
          <w:lang w:val="en-US"/>
        </w:rPr>
        <w:t>OTJs describe</w:t>
      </w:r>
      <w:r w:rsidR="00324789" w:rsidRPr="00277BEC">
        <w:rPr>
          <w:rFonts w:ascii="Arial" w:hAnsi="Arial" w:cs="Arial"/>
          <w:lang w:val="en-US"/>
        </w:rPr>
        <w:t xml:space="preserve"> students as operating </w:t>
      </w:r>
      <w:r w:rsidR="00324789" w:rsidRPr="00277BEC">
        <w:rPr>
          <w:rFonts w:ascii="Arial" w:hAnsi="Arial" w:cs="Arial"/>
          <w:i/>
          <w:lang w:val="en-US"/>
        </w:rPr>
        <w:t>at</w:t>
      </w:r>
      <w:r w:rsidR="00324789" w:rsidRPr="00277BEC">
        <w:rPr>
          <w:rFonts w:ascii="Arial" w:hAnsi="Arial" w:cs="Arial"/>
          <w:lang w:val="en-US"/>
        </w:rPr>
        <w:t xml:space="preserve">, </w:t>
      </w:r>
      <w:r w:rsidR="00324789" w:rsidRPr="00277BEC">
        <w:rPr>
          <w:rFonts w:ascii="Arial" w:hAnsi="Arial" w:cs="Arial"/>
          <w:i/>
          <w:lang w:val="en-US"/>
        </w:rPr>
        <w:t>above</w:t>
      </w:r>
      <w:r w:rsidR="00324789" w:rsidRPr="00277BEC">
        <w:rPr>
          <w:rFonts w:ascii="Arial" w:hAnsi="Arial" w:cs="Arial"/>
          <w:lang w:val="en-US"/>
        </w:rPr>
        <w:t xml:space="preserve">, </w:t>
      </w:r>
      <w:r w:rsidR="00324789" w:rsidRPr="00277BEC">
        <w:rPr>
          <w:rFonts w:ascii="Arial" w:hAnsi="Arial" w:cs="Arial"/>
          <w:i/>
          <w:lang w:val="en-US"/>
        </w:rPr>
        <w:t>below</w:t>
      </w:r>
      <w:r w:rsidR="00324789" w:rsidRPr="00277BEC">
        <w:rPr>
          <w:rFonts w:ascii="Arial" w:hAnsi="Arial" w:cs="Arial"/>
          <w:lang w:val="en-US"/>
        </w:rPr>
        <w:t xml:space="preserve">, or </w:t>
      </w:r>
      <w:r w:rsidR="00324789" w:rsidRPr="00277BEC">
        <w:rPr>
          <w:rFonts w:ascii="Arial" w:hAnsi="Arial" w:cs="Arial"/>
          <w:i/>
          <w:lang w:val="en-US"/>
        </w:rPr>
        <w:t>well below</w:t>
      </w:r>
      <w:r w:rsidR="00324789" w:rsidRPr="00277BEC">
        <w:rPr>
          <w:rFonts w:ascii="Arial" w:hAnsi="Arial" w:cs="Arial"/>
          <w:lang w:val="en-US"/>
        </w:rPr>
        <w:t xml:space="preserve"> the appropriate year level</w:t>
      </w:r>
      <w:r w:rsidRPr="00277BEC">
        <w:rPr>
          <w:rFonts w:ascii="Arial" w:hAnsi="Arial" w:cs="Arial"/>
          <w:lang w:val="en-US"/>
        </w:rPr>
        <w:t xml:space="preserve"> standard.</w:t>
      </w:r>
    </w:p>
    <w:p w14:paraId="1DFB0E83" w14:textId="77777777" w:rsidR="00E25515" w:rsidRPr="00277BEC" w:rsidRDefault="00DA2D2C" w:rsidP="00C54094">
      <w:pPr>
        <w:pStyle w:val="BodyText"/>
        <w:jc w:val="left"/>
        <w:rPr>
          <w:rFonts w:ascii="Arial" w:hAnsi="Arial" w:cs="Arial"/>
          <w:lang w:val="en-US"/>
        </w:rPr>
      </w:pPr>
      <w:r w:rsidRPr="00277BEC">
        <w:rPr>
          <w:rFonts w:ascii="Arial" w:hAnsi="Arial" w:cs="Arial"/>
          <w:lang w:val="en-US"/>
        </w:rPr>
        <w:t xml:space="preserve">This project </w:t>
      </w:r>
      <w:proofErr w:type="spellStart"/>
      <w:r w:rsidR="00774A7A" w:rsidRPr="00277BEC">
        <w:rPr>
          <w:rFonts w:ascii="Arial" w:hAnsi="Arial" w:cs="Arial"/>
          <w:lang w:val="en-US"/>
        </w:rPr>
        <w:t>utilis</w:t>
      </w:r>
      <w:r w:rsidRPr="00277BEC">
        <w:rPr>
          <w:rFonts w:ascii="Arial" w:hAnsi="Arial" w:cs="Arial"/>
          <w:lang w:val="en-US"/>
        </w:rPr>
        <w:t>es</w:t>
      </w:r>
      <w:proofErr w:type="spellEnd"/>
      <w:r w:rsidRPr="00277BEC">
        <w:rPr>
          <w:rFonts w:ascii="Arial" w:hAnsi="Arial" w:cs="Arial"/>
          <w:lang w:val="en-US"/>
        </w:rPr>
        <w:t xml:space="preserve"> the End of Year 8 Reading Standard and the End </w:t>
      </w:r>
      <w:r w:rsidR="00774A7A" w:rsidRPr="00277BEC">
        <w:rPr>
          <w:rFonts w:ascii="Arial" w:hAnsi="Arial" w:cs="Arial"/>
          <w:lang w:val="en-US"/>
        </w:rPr>
        <w:t xml:space="preserve">of Year 8 Mathematics Standard. Although these standards both align to </w:t>
      </w:r>
      <w:r w:rsidR="008234DB" w:rsidRPr="00277BEC">
        <w:rPr>
          <w:rFonts w:ascii="Arial" w:hAnsi="Arial" w:cs="Arial"/>
          <w:lang w:val="en-US"/>
        </w:rPr>
        <w:t>Level</w:t>
      </w:r>
      <w:r w:rsidR="00774A7A" w:rsidRPr="00277BEC">
        <w:rPr>
          <w:rFonts w:ascii="Arial" w:hAnsi="Arial" w:cs="Arial"/>
          <w:lang w:val="en-US"/>
        </w:rPr>
        <w:t xml:space="preserve"> 4 of the curriculum, the way they align is somewhat different. </w:t>
      </w:r>
      <w:r w:rsidRPr="00277BEC">
        <w:rPr>
          <w:rFonts w:ascii="Arial" w:hAnsi="Arial" w:cs="Arial"/>
          <w:lang w:val="en-US"/>
        </w:rPr>
        <w:t xml:space="preserve">The reading standard is related to </w:t>
      </w:r>
      <w:r w:rsidR="00774A7A" w:rsidRPr="00277BEC">
        <w:rPr>
          <w:rFonts w:ascii="Arial" w:hAnsi="Arial" w:cs="Arial"/>
          <w:lang w:val="en-US"/>
        </w:rPr>
        <w:t>all</w:t>
      </w:r>
      <w:r w:rsidRPr="00277BEC">
        <w:rPr>
          <w:rFonts w:ascii="Arial" w:hAnsi="Arial" w:cs="Arial"/>
          <w:lang w:val="en-US"/>
        </w:rPr>
        <w:t xml:space="preserve"> </w:t>
      </w:r>
      <w:r w:rsidR="0024720B" w:rsidRPr="00277BEC">
        <w:rPr>
          <w:rFonts w:ascii="Arial" w:hAnsi="Arial" w:cs="Arial"/>
          <w:lang w:val="en-US"/>
        </w:rPr>
        <w:t>eight</w:t>
      </w:r>
      <w:r w:rsidRPr="00277BEC">
        <w:rPr>
          <w:rFonts w:ascii="Arial" w:hAnsi="Arial" w:cs="Arial"/>
          <w:lang w:val="en-US"/>
        </w:rPr>
        <w:t xml:space="preserve"> learning areas of the </w:t>
      </w:r>
      <w:r w:rsidR="00774A7A" w:rsidRPr="00277BEC">
        <w:rPr>
          <w:rFonts w:ascii="Arial" w:hAnsi="Arial" w:cs="Arial"/>
          <w:lang w:val="en-US"/>
        </w:rPr>
        <w:t>curriculum,</w:t>
      </w:r>
      <w:r w:rsidRPr="00277BEC">
        <w:rPr>
          <w:rFonts w:ascii="Arial" w:hAnsi="Arial" w:cs="Arial"/>
          <w:lang w:val="en-US"/>
        </w:rPr>
        <w:t xml:space="preserve"> as it requires students to “read, respond, a</w:t>
      </w:r>
      <w:r w:rsidR="00774A7A" w:rsidRPr="00277BEC">
        <w:rPr>
          <w:rFonts w:ascii="Arial" w:hAnsi="Arial" w:cs="Arial"/>
          <w:lang w:val="en-US"/>
        </w:rPr>
        <w:t>n</w:t>
      </w:r>
      <w:r w:rsidRPr="00277BEC">
        <w:rPr>
          <w:rFonts w:ascii="Arial" w:hAnsi="Arial" w:cs="Arial"/>
          <w:lang w:val="en-US"/>
        </w:rPr>
        <w:t xml:space="preserve">d think critically about texts in order to meet the demands of the New Zealand Curriculum at </w:t>
      </w:r>
      <w:r w:rsidR="008234DB" w:rsidRPr="00277BEC">
        <w:rPr>
          <w:rFonts w:ascii="Arial" w:hAnsi="Arial" w:cs="Arial"/>
          <w:lang w:val="en-US"/>
        </w:rPr>
        <w:t>Level</w:t>
      </w:r>
      <w:r w:rsidRPr="00277BEC">
        <w:rPr>
          <w:rFonts w:ascii="Arial" w:hAnsi="Arial" w:cs="Arial"/>
          <w:lang w:val="en-US"/>
        </w:rPr>
        <w:t xml:space="preserve"> 4</w:t>
      </w:r>
      <w:r w:rsidR="000B252B" w:rsidRPr="00277BEC">
        <w:rPr>
          <w:rFonts w:ascii="Arial" w:hAnsi="Arial" w:cs="Arial"/>
          <w:lang w:val="en-US"/>
        </w:rPr>
        <w:t>”</w:t>
      </w:r>
      <w:r w:rsidR="00774A7A" w:rsidRPr="00277BEC">
        <w:rPr>
          <w:rFonts w:ascii="Arial" w:hAnsi="Arial" w:cs="Arial"/>
          <w:lang w:val="en-US"/>
        </w:rPr>
        <w:t xml:space="preserve"> </w:t>
      </w:r>
      <w:r w:rsidR="00673B70" w:rsidRPr="00277BEC">
        <w:rPr>
          <w:rFonts w:ascii="Arial" w:hAnsi="Arial" w:cs="Arial"/>
          <w:lang w:val="en-US"/>
        </w:rPr>
        <w:t xml:space="preserve">(Ministry of Education, </w:t>
      </w:r>
      <w:r w:rsidR="00F77A73" w:rsidRPr="00277BEC">
        <w:rPr>
          <w:rFonts w:ascii="Arial" w:hAnsi="Arial" w:cs="Arial"/>
          <w:lang w:val="en-US"/>
        </w:rPr>
        <w:t>2009a</w:t>
      </w:r>
      <w:r w:rsidR="00774A7A" w:rsidRPr="00277BEC">
        <w:rPr>
          <w:rFonts w:ascii="Arial" w:hAnsi="Arial" w:cs="Arial"/>
          <w:lang w:val="en-US"/>
        </w:rPr>
        <w:t>)</w:t>
      </w:r>
      <w:r w:rsidRPr="00277BEC">
        <w:rPr>
          <w:rFonts w:ascii="Arial" w:hAnsi="Arial" w:cs="Arial"/>
          <w:lang w:val="en-US"/>
        </w:rPr>
        <w:t xml:space="preserve">. </w:t>
      </w:r>
      <w:r w:rsidR="00774A7A" w:rsidRPr="00277BEC">
        <w:rPr>
          <w:rFonts w:ascii="Arial" w:hAnsi="Arial" w:cs="Arial"/>
          <w:lang w:val="en-US"/>
        </w:rPr>
        <w:t xml:space="preserve">In comparison, the mathematics standard is focused solely on </w:t>
      </w:r>
      <w:r w:rsidR="00862B39" w:rsidRPr="00277BEC">
        <w:rPr>
          <w:rFonts w:ascii="Arial" w:hAnsi="Arial" w:cs="Arial"/>
          <w:lang w:val="en-US"/>
        </w:rPr>
        <w:t>the mathematics and statistic</w:t>
      </w:r>
      <w:r w:rsidR="00673B70" w:rsidRPr="00277BEC">
        <w:rPr>
          <w:rFonts w:ascii="Arial" w:hAnsi="Arial" w:cs="Arial"/>
          <w:lang w:val="en-US"/>
        </w:rPr>
        <w:t>s</w:t>
      </w:r>
      <w:r w:rsidR="00862B39" w:rsidRPr="00277BEC">
        <w:rPr>
          <w:rFonts w:ascii="Arial" w:hAnsi="Arial" w:cs="Arial"/>
          <w:lang w:val="en-US"/>
        </w:rPr>
        <w:t xml:space="preserve"> learning area and </w:t>
      </w:r>
      <w:r w:rsidR="00774A7A" w:rsidRPr="00277BEC">
        <w:rPr>
          <w:rFonts w:ascii="Arial" w:hAnsi="Arial" w:cs="Arial"/>
          <w:lang w:val="en-US"/>
        </w:rPr>
        <w:t>requires</w:t>
      </w:r>
      <w:r w:rsidR="00862B39" w:rsidRPr="00277BEC">
        <w:rPr>
          <w:rFonts w:ascii="Arial" w:hAnsi="Arial" w:cs="Arial"/>
          <w:lang w:val="en-US"/>
        </w:rPr>
        <w:t xml:space="preserve"> students to </w:t>
      </w:r>
      <w:r w:rsidR="00774A7A" w:rsidRPr="00277BEC">
        <w:rPr>
          <w:rFonts w:ascii="Arial" w:hAnsi="Arial" w:cs="Arial"/>
          <w:lang w:val="en-US"/>
        </w:rPr>
        <w:t xml:space="preserve">be achieving at </w:t>
      </w:r>
      <w:r w:rsidR="008234DB" w:rsidRPr="00277BEC">
        <w:rPr>
          <w:rFonts w:ascii="Arial" w:hAnsi="Arial" w:cs="Arial"/>
          <w:lang w:val="en-US"/>
        </w:rPr>
        <w:t>Level</w:t>
      </w:r>
      <w:r w:rsidR="00774A7A" w:rsidRPr="00277BEC">
        <w:rPr>
          <w:rFonts w:ascii="Arial" w:hAnsi="Arial" w:cs="Arial"/>
          <w:lang w:val="en-US"/>
        </w:rPr>
        <w:t xml:space="preserve"> 4 </w:t>
      </w:r>
      <w:r w:rsidR="00862B39" w:rsidRPr="00277BEC">
        <w:rPr>
          <w:rFonts w:ascii="Arial" w:hAnsi="Arial" w:cs="Arial"/>
          <w:lang w:val="en-US"/>
        </w:rPr>
        <w:t>in this area (</w:t>
      </w:r>
      <w:r w:rsidR="00673B70" w:rsidRPr="00277BEC">
        <w:rPr>
          <w:rFonts w:ascii="Arial" w:hAnsi="Arial" w:cs="Arial"/>
          <w:lang w:val="en-US"/>
        </w:rPr>
        <w:t>Ministry of Education, 2009b</w:t>
      </w:r>
      <w:r w:rsidR="00862B39" w:rsidRPr="00277BEC">
        <w:rPr>
          <w:rFonts w:ascii="Arial" w:hAnsi="Arial" w:cs="Arial"/>
          <w:lang w:val="en-US"/>
        </w:rPr>
        <w:t>).</w:t>
      </w:r>
    </w:p>
    <w:p w14:paraId="1DC0443D" w14:textId="3FC59003" w:rsidR="00284166" w:rsidRPr="00277BEC" w:rsidRDefault="00284166" w:rsidP="00E25515">
      <w:pPr>
        <w:pStyle w:val="BodyText"/>
        <w:rPr>
          <w:rFonts w:ascii="Arial" w:hAnsi="Arial" w:cs="Arial"/>
          <w:lang w:val="en-US"/>
        </w:rPr>
      </w:pPr>
    </w:p>
    <w:p w14:paraId="43687ABA" w14:textId="77777777" w:rsidR="00E25515" w:rsidRPr="00277BEC" w:rsidRDefault="00E25515">
      <w:pPr>
        <w:spacing w:after="0" w:line="240" w:lineRule="auto"/>
        <w:rPr>
          <w:rFonts w:ascii="Arial" w:hAnsi="Arial" w:cs="Arial"/>
        </w:rPr>
      </w:pPr>
    </w:p>
    <w:p w14:paraId="1A3901D2" w14:textId="77777777" w:rsidR="00A65A60" w:rsidRPr="00277BEC" w:rsidRDefault="00A65A60">
      <w:pPr>
        <w:spacing w:after="0" w:line="240" w:lineRule="auto"/>
        <w:rPr>
          <w:rFonts w:ascii="Arial" w:hAnsi="Arial" w:cs="Arial"/>
        </w:rPr>
      </w:pPr>
      <w:r w:rsidRPr="00277BEC">
        <w:rPr>
          <w:rFonts w:ascii="Arial" w:hAnsi="Arial" w:cs="Arial"/>
        </w:rPr>
        <w:br w:type="page"/>
      </w:r>
    </w:p>
    <w:p w14:paraId="18079D5F" w14:textId="77777777" w:rsidR="00DF5BF2" w:rsidRPr="00277BEC" w:rsidRDefault="00474A11" w:rsidP="001B44DE">
      <w:pPr>
        <w:pStyle w:val="Heading1"/>
        <w:rPr>
          <w:rFonts w:cs="Arial"/>
        </w:rPr>
      </w:pPr>
      <w:bookmarkStart w:id="23" w:name="_Toc264282838"/>
      <w:bookmarkStart w:id="24" w:name="_Toc417920176"/>
      <w:r w:rsidRPr="00277BEC">
        <w:rPr>
          <w:rFonts w:cs="Arial"/>
        </w:rPr>
        <w:lastRenderedPageBreak/>
        <w:t>Methodol</w:t>
      </w:r>
      <w:bookmarkEnd w:id="12"/>
      <w:bookmarkEnd w:id="13"/>
      <w:r w:rsidR="00D02894" w:rsidRPr="00277BEC">
        <w:rPr>
          <w:rFonts w:cs="Arial"/>
        </w:rPr>
        <w:t>ogical approach</w:t>
      </w:r>
      <w:bookmarkEnd w:id="23"/>
      <w:bookmarkEnd w:id="24"/>
    </w:p>
    <w:p w14:paraId="772D154F" w14:textId="77777777" w:rsidR="00626F60" w:rsidRPr="00277BEC" w:rsidRDefault="007B5B2F" w:rsidP="00D80B3B">
      <w:pPr>
        <w:jc w:val="left"/>
        <w:rPr>
          <w:rFonts w:ascii="Arial" w:hAnsi="Arial" w:cs="Arial"/>
        </w:rPr>
      </w:pPr>
      <w:r w:rsidRPr="00277BEC">
        <w:rPr>
          <w:rFonts w:ascii="Arial" w:hAnsi="Arial" w:cs="Arial"/>
        </w:rPr>
        <w:t xml:space="preserve">This chapter describes </w:t>
      </w:r>
      <w:r w:rsidR="00757F18" w:rsidRPr="00277BEC">
        <w:rPr>
          <w:rFonts w:ascii="Arial" w:hAnsi="Arial" w:cs="Arial"/>
        </w:rPr>
        <w:t>the project’s methodology</w:t>
      </w:r>
      <w:r w:rsidRPr="00277BEC">
        <w:rPr>
          <w:rFonts w:ascii="Arial" w:hAnsi="Arial" w:cs="Arial"/>
        </w:rPr>
        <w:t xml:space="preserve"> and identifies the research questions that were addressed</w:t>
      </w:r>
      <w:r w:rsidR="00626F60" w:rsidRPr="00277BEC">
        <w:rPr>
          <w:rFonts w:ascii="Arial" w:hAnsi="Arial" w:cs="Arial"/>
        </w:rPr>
        <w:t xml:space="preserve">. </w:t>
      </w:r>
      <w:r w:rsidRPr="00277BEC">
        <w:rPr>
          <w:rFonts w:ascii="Arial" w:hAnsi="Arial" w:cs="Arial"/>
        </w:rPr>
        <w:t>The data sources and participa</w:t>
      </w:r>
      <w:r w:rsidR="00981B96" w:rsidRPr="00277BEC">
        <w:rPr>
          <w:rFonts w:ascii="Arial" w:hAnsi="Arial" w:cs="Arial"/>
        </w:rPr>
        <w:t xml:space="preserve">nts are also outlined. The </w:t>
      </w:r>
      <w:r w:rsidR="00757F18" w:rsidRPr="00277BEC">
        <w:rPr>
          <w:rFonts w:ascii="Arial" w:hAnsi="Arial" w:cs="Arial"/>
        </w:rPr>
        <w:t>results and discussion in chapters that follow</w:t>
      </w:r>
      <w:r w:rsidRPr="00277BEC">
        <w:rPr>
          <w:rFonts w:ascii="Arial" w:hAnsi="Arial" w:cs="Arial"/>
        </w:rPr>
        <w:t xml:space="preserve"> </w:t>
      </w:r>
      <w:r w:rsidR="009A2758" w:rsidRPr="00277BEC">
        <w:rPr>
          <w:rFonts w:ascii="Arial" w:hAnsi="Arial" w:cs="Arial"/>
        </w:rPr>
        <w:t xml:space="preserve">are structured around the research questions. </w:t>
      </w:r>
    </w:p>
    <w:p w14:paraId="179762B3" w14:textId="77777777" w:rsidR="00CE39AE" w:rsidRPr="00277BEC" w:rsidRDefault="00D02894" w:rsidP="00D80B3B">
      <w:pPr>
        <w:pStyle w:val="Heading2"/>
        <w:jc w:val="left"/>
        <w:rPr>
          <w:rFonts w:cs="Arial"/>
        </w:rPr>
      </w:pPr>
      <w:bookmarkStart w:id="25" w:name="_Toc264282839"/>
      <w:bookmarkStart w:id="26" w:name="_Toc417920177"/>
      <w:r w:rsidRPr="00277BEC">
        <w:rPr>
          <w:rFonts w:cs="Arial"/>
        </w:rPr>
        <w:t>Methodology and r</w:t>
      </w:r>
      <w:r w:rsidR="00CE39AE" w:rsidRPr="00277BEC">
        <w:rPr>
          <w:rFonts w:cs="Arial"/>
        </w:rPr>
        <w:t>esearch questions</w:t>
      </w:r>
      <w:bookmarkEnd w:id="25"/>
      <w:bookmarkEnd w:id="26"/>
    </w:p>
    <w:p w14:paraId="25B22F31" w14:textId="77777777" w:rsidR="005C30DE" w:rsidRPr="00277BEC" w:rsidRDefault="00CE39AE" w:rsidP="00D80B3B">
      <w:pPr>
        <w:jc w:val="left"/>
        <w:rPr>
          <w:rFonts w:ascii="Arial" w:hAnsi="Arial" w:cs="Arial"/>
        </w:rPr>
      </w:pPr>
      <w:r w:rsidRPr="00277BEC">
        <w:rPr>
          <w:rFonts w:ascii="Arial" w:hAnsi="Arial" w:cs="Arial"/>
        </w:rPr>
        <w:t xml:space="preserve">The project </w:t>
      </w:r>
      <w:r w:rsidR="008A44A3" w:rsidRPr="00277BEC">
        <w:rPr>
          <w:rFonts w:ascii="Arial" w:hAnsi="Arial" w:cs="Arial"/>
        </w:rPr>
        <w:t>review</w:t>
      </w:r>
      <w:r w:rsidR="00A55FF1" w:rsidRPr="00277BEC">
        <w:rPr>
          <w:rFonts w:ascii="Arial" w:hAnsi="Arial" w:cs="Arial"/>
        </w:rPr>
        <w:t>s</w:t>
      </w:r>
      <w:r w:rsidR="008A44A3" w:rsidRPr="00277BEC">
        <w:rPr>
          <w:rFonts w:ascii="Arial" w:hAnsi="Arial" w:cs="Arial"/>
        </w:rPr>
        <w:t xml:space="preserve"> established and previously articulated links between</w:t>
      </w:r>
      <w:r w:rsidRPr="00277BEC">
        <w:rPr>
          <w:rFonts w:ascii="Arial" w:hAnsi="Arial" w:cs="Arial"/>
        </w:rPr>
        <w:t xml:space="preserve"> the various measurement scales</w:t>
      </w:r>
      <w:r w:rsidR="007A2F7D" w:rsidRPr="00277BEC">
        <w:rPr>
          <w:rFonts w:ascii="Arial" w:hAnsi="Arial" w:cs="Arial"/>
        </w:rPr>
        <w:t xml:space="preserve">. </w:t>
      </w:r>
      <w:r w:rsidR="008A44A3" w:rsidRPr="00277BEC">
        <w:rPr>
          <w:rFonts w:ascii="Arial" w:hAnsi="Arial" w:cs="Arial"/>
        </w:rPr>
        <w:t xml:space="preserve">The alignments between these scales are then examined using </w:t>
      </w:r>
      <w:r w:rsidR="00F528ED" w:rsidRPr="00277BEC">
        <w:rPr>
          <w:rFonts w:ascii="Arial" w:hAnsi="Arial" w:cs="Arial"/>
        </w:rPr>
        <w:t>the</w:t>
      </w:r>
      <w:r w:rsidR="00A55FF1" w:rsidRPr="00277BEC">
        <w:rPr>
          <w:rFonts w:ascii="Arial" w:hAnsi="Arial" w:cs="Arial"/>
        </w:rPr>
        <w:t xml:space="preserve"> </w:t>
      </w:r>
      <w:r w:rsidR="008A44A3" w:rsidRPr="00277BEC">
        <w:rPr>
          <w:rFonts w:ascii="Arial" w:hAnsi="Arial" w:cs="Arial"/>
        </w:rPr>
        <w:t xml:space="preserve">results from samples of </w:t>
      </w:r>
      <w:r w:rsidR="00A55FF1" w:rsidRPr="00277BEC">
        <w:rPr>
          <w:rFonts w:ascii="Arial" w:hAnsi="Arial" w:cs="Arial"/>
        </w:rPr>
        <w:t>learners</w:t>
      </w:r>
      <w:r w:rsidR="008A44A3" w:rsidRPr="00277BEC">
        <w:rPr>
          <w:rFonts w:ascii="Arial" w:hAnsi="Arial" w:cs="Arial"/>
        </w:rPr>
        <w:t xml:space="preserve"> in both the school and tertiary sectors</w:t>
      </w:r>
      <w:r w:rsidRPr="00277BEC">
        <w:rPr>
          <w:rFonts w:ascii="Arial" w:hAnsi="Arial" w:cs="Arial"/>
        </w:rPr>
        <w:t xml:space="preserve">. </w:t>
      </w:r>
      <w:r w:rsidR="00923361" w:rsidRPr="00277BEC">
        <w:rPr>
          <w:rFonts w:ascii="Arial" w:hAnsi="Arial" w:cs="Arial"/>
        </w:rPr>
        <w:t xml:space="preserve">The </w:t>
      </w:r>
      <w:r w:rsidR="00460603" w:rsidRPr="00277BEC">
        <w:rPr>
          <w:rFonts w:ascii="Arial" w:hAnsi="Arial" w:cs="Arial"/>
        </w:rPr>
        <w:t xml:space="preserve">Assessment Tool scales are </w:t>
      </w:r>
      <w:r w:rsidR="00923361" w:rsidRPr="00277BEC">
        <w:rPr>
          <w:rFonts w:ascii="Arial" w:hAnsi="Arial" w:cs="Arial"/>
        </w:rPr>
        <w:t xml:space="preserve">used as </w:t>
      </w:r>
      <w:r w:rsidR="00460603" w:rsidRPr="00277BEC">
        <w:rPr>
          <w:rFonts w:ascii="Arial" w:hAnsi="Arial" w:cs="Arial"/>
        </w:rPr>
        <w:t>the</w:t>
      </w:r>
      <w:r w:rsidR="00923361" w:rsidRPr="00277BEC">
        <w:rPr>
          <w:rFonts w:ascii="Arial" w:hAnsi="Arial" w:cs="Arial"/>
        </w:rPr>
        <w:t xml:space="preserve"> lynchpin to </w:t>
      </w:r>
      <w:r w:rsidR="00A55FF1" w:rsidRPr="00277BEC">
        <w:rPr>
          <w:rFonts w:ascii="Arial" w:hAnsi="Arial" w:cs="Arial"/>
        </w:rPr>
        <w:t>connect the</w:t>
      </w:r>
      <w:r w:rsidR="00923361" w:rsidRPr="00277BEC">
        <w:rPr>
          <w:rFonts w:ascii="Arial" w:hAnsi="Arial" w:cs="Arial"/>
        </w:rPr>
        <w:t xml:space="preserve"> scales and investigate the alignments between them. </w:t>
      </w:r>
      <w:r w:rsidR="00193F94" w:rsidRPr="00277BEC">
        <w:rPr>
          <w:rFonts w:ascii="Arial" w:hAnsi="Arial" w:cs="Arial"/>
        </w:rPr>
        <w:t xml:space="preserve">Figure 1 </w:t>
      </w:r>
      <w:r w:rsidR="004B1F1A" w:rsidRPr="00277BEC">
        <w:rPr>
          <w:rFonts w:ascii="Arial" w:hAnsi="Arial" w:cs="Arial"/>
        </w:rPr>
        <w:t>shows</w:t>
      </w:r>
      <w:r w:rsidR="00923361" w:rsidRPr="00277BEC">
        <w:rPr>
          <w:rFonts w:ascii="Arial" w:hAnsi="Arial" w:cs="Arial"/>
        </w:rPr>
        <w:t xml:space="preserve"> the </w:t>
      </w:r>
      <w:r w:rsidR="004B1F1A" w:rsidRPr="00277BEC">
        <w:rPr>
          <w:rFonts w:ascii="Arial" w:hAnsi="Arial" w:cs="Arial"/>
        </w:rPr>
        <w:t xml:space="preserve">measurement </w:t>
      </w:r>
      <w:r w:rsidR="00923361" w:rsidRPr="00277BEC">
        <w:rPr>
          <w:rFonts w:ascii="Arial" w:hAnsi="Arial" w:cs="Arial"/>
        </w:rPr>
        <w:t xml:space="preserve">scales </w:t>
      </w:r>
      <w:r w:rsidR="004B1F1A" w:rsidRPr="00277BEC">
        <w:rPr>
          <w:rFonts w:ascii="Arial" w:hAnsi="Arial" w:cs="Arial"/>
        </w:rPr>
        <w:t>involved</w:t>
      </w:r>
      <w:r w:rsidR="00923361" w:rsidRPr="00277BEC">
        <w:rPr>
          <w:rFonts w:ascii="Arial" w:hAnsi="Arial" w:cs="Arial"/>
        </w:rPr>
        <w:t xml:space="preserve">, </w:t>
      </w:r>
      <w:r w:rsidR="004B1F1A" w:rsidRPr="00277BEC">
        <w:rPr>
          <w:rFonts w:ascii="Arial" w:hAnsi="Arial" w:cs="Arial"/>
        </w:rPr>
        <w:t>and illustrates the links under investigation.</w:t>
      </w:r>
    </w:p>
    <w:p w14:paraId="3FC92D30" w14:textId="77777777" w:rsidR="00CE39AE" w:rsidRPr="00277BEC" w:rsidRDefault="00E05711" w:rsidP="00CE39AE">
      <w:pPr>
        <w:pStyle w:val="BodyText"/>
        <w:spacing w:line="240" w:lineRule="auto"/>
        <w:rPr>
          <w:rFonts w:ascii="Arial" w:hAnsi="Arial" w:cs="Arial"/>
        </w:rPr>
      </w:pPr>
      <w:r w:rsidRPr="00277BEC">
        <w:rPr>
          <w:rFonts w:ascii="Arial" w:hAnsi="Arial" w:cs="Arial"/>
          <w:noProof/>
          <w:lang w:val="en-NZ" w:eastAsia="en-NZ"/>
        </w:rPr>
        <mc:AlternateContent>
          <mc:Choice Requires="wps">
            <w:drawing>
              <wp:inline distT="0" distB="0" distL="0" distR="0" wp14:anchorId="38D9EFAF" wp14:editId="412AB996">
                <wp:extent cx="5577840" cy="3799840"/>
                <wp:effectExtent l="0" t="0" r="35560" b="35560"/>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7840" cy="3799840"/>
                        </a:xfrm>
                        <a:prstGeom prst="rect">
                          <a:avLst/>
                        </a:prstGeom>
                        <a:no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C3EF2B" w14:textId="77777777" w:rsidR="000C0266" w:rsidRPr="00705682" w:rsidRDefault="000C0266" w:rsidP="00CE39AE">
                            <w:pPr>
                              <w:spacing w:line="240" w:lineRule="auto"/>
                              <w:jc w:val="center"/>
                              <w:rPr>
                                <w:sz w:val="8"/>
                                <w:szCs w:val="8"/>
                              </w:rPr>
                            </w:pPr>
                          </w:p>
                          <w:p w14:paraId="53BB009A" w14:textId="6EE3B665" w:rsidR="000C0266" w:rsidRDefault="000C0266" w:rsidP="00CE39AE">
                            <w:pPr>
                              <w:spacing w:line="240" w:lineRule="auto"/>
                              <w:jc w:val="center"/>
                            </w:pPr>
                            <w:r>
                              <w:rPr>
                                <w:noProof/>
                                <w:lang w:val="en-NZ" w:eastAsia="en-NZ"/>
                              </w:rPr>
                              <w:drawing>
                                <wp:inline distT="0" distB="0" distL="0" distR="0" wp14:anchorId="57EE3141" wp14:editId="1F1E8FED">
                                  <wp:extent cx="5394960" cy="343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png"/>
                                          <pic:cNvPicPr/>
                                        </pic:nvPicPr>
                                        <pic:blipFill>
                                          <a:blip r:embed="rId10">
                                            <a:extLst>
                                              <a:ext uri="{28A0092B-C50C-407E-A947-70E740481C1C}">
                                                <a14:useLocalDpi xmlns:a14="http://schemas.microsoft.com/office/drawing/2010/main" val="0"/>
                                              </a:ext>
                                            </a:extLst>
                                          </a:blip>
                                          <a:stretch>
                                            <a:fillRect/>
                                          </a:stretch>
                                        </pic:blipFill>
                                        <pic:spPr>
                                          <a:xfrm>
                                            <a:off x="0" y="0"/>
                                            <a:ext cx="5394960" cy="3431540"/>
                                          </a:xfrm>
                                          <a:prstGeom prst="rect">
                                            <a:avLst/>
                                          </a:prstGeom>
                                        </pic:spPr>
                                      </pic:pic>
                                    </a:graphicData>
                                  </a:graphic>
                                </wp:inline>
                              </w:drawing>
                            </w:r>
                          </w:p>
                          <w:p w14:paraId="4812EA13" w14:textId="77777777" w:rsidR="000C0266" w:rsidRDefault="000C0266"/>
                          <w:p w14:paraId="18AAC00F" w14:textId="77777777" w:rsidR="000C0266" w:rsidRDefault="000C02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39.2pt;height:2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" filled="f" strokecolor="#7f7f7f [1612]">
                <v:path arrowok="t"/>
                <v:textbox>
                  <w:txbxContent>
                    <w:p w14:paraId="0CC3EF2B" w14:textId="77777777" w:rsidR="000C0266" w:rsidRPr="00705682" w:rsidRDefault="000C0266" w:rsidP="00CE39AE">
                      <w:pPr>
                        <w:spacing w:line="240" w:lineRule="auto"/>
                        <w:jc w:val="center"/>
                        <w:rPr>
                          <w:sz w:val="8"/>
                          <w:szCs w:val="8"/>
                        </w:rPr>
                      </w:pPr>
                    </w:p>
                    <w:p w14:paraId="53BB009A" w14:textId="6EE3B665" w:rsidR="000C0266" w:rsidRDefault="000C0266" w:rsidP="00CE39AE">
                      <w:pPr>
                        <w:spacing w:line="240" w:lineRule="auto"/>
                        <w:jc w:val="center"/>
                      </w:pPr>
                      <w:r>
                        <w:rPr>
                          <w:noProof/>
                          <w:lang w:val="en-NZ" w:eastAsia="en-NZ"/>
                        </w:rPr>
                        <w:drawing>
                          <wp:inline distT="0" distB="0" distL="0" distR="0" wp14:anchorId="57EE3141" wp14:editId="1F1E8FED">
                            <wp:extent cx="5394960" cy="343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png"/>
                                    <pic:cNvPicPr/>
                                  </pic:nvPicPr>
                                  <pic:blipFill>
                                    <a:blip r:embed="rId11">
                                      <a:extLst>
                                        <a:ext uri="{28A0092B-C50C-407E-A947-70E740481C1C}">
                                          <a14:useLocalDpi xmlns:a14="http://schemas.microsoft.com/office/drawing/2010/main" val="0"/>
                                        </a:ext>
                                      </a:extLst>
                                    </a:blip>
                                    <a:stretch>
                                      <a:fillRect/>
                                    </a:stretch>
                                  </pic:blipFill>
                                  <pic:spPr>
                                    <a:xfrm>
                                      <a:off x="0" y="0"/>
                                      <a:ext cx="5394960" cy="3431540"/>
                                    </a:xfrm>
                                    <a:prstGeom prst="rect">
                                      <a:avLst/>
                                    </a:prstGeom>
                                  </pic:spPr>
                                </pic:pic>
                              </a:graphicData>
                            </a:graphic>
                          </wp:inline>
                        </w:drawing>
                      </w:r>
                    </w:p>
                    <w:p w14:paraId="4812EA13" w14:textId="77777777" w:rsidR="000C0266" w:rsidRDefault="000C0266"/>
                    <w:p w14:paraId="18AAC00F" w14:textId="77777777" w:rsidR="000C0266" w:rsidRDefault="000C0266"/>
                  </w:txbxContent>
                </v:textbox>
                <w10:anchorlock/>
              </v:shape>
            </w:pict>
          </mc:Fallback>
        </mc:AlternateContent>
      </w:r>
    </w:p>
    <w:p w14:paraId="23D761BB" w14:textId="77777777" w:rsidR="00204960" w:rsidRPr="00277BEC" w:rsidRDefault="00CE39AE" w:rsidP="00A55FF1">
      <w:pPr>
        <w:pStyle w:val="Caption"/>
        <w:rPr>
          <w:rFonts w:cs="Arial"/>
        </w:rPr>
      </w:pPr>
      <w:bookmarkStart w:id="27" w:name="_Toc417920074"/>
      <w:r w:rsidRPr="00277BEC">
        <w:rPr>
          <w:rFonts w:cs="Arial"/>
          <w:b/>
        </w:rPr>
        <w:t xml:space="preserve">Figure </w:t>
      </w:r>
      <w:r w:rsidR="00D71DDD" w:rsidRPr="00277BEC">
        <w:rPr>
          <w:rFonts w:cs="Arial"/>
          <w:b/>
        </w:rPr>
        <w:fldChar w:fldCharType="begin"/>
      </w:r>
      <w:r w:rsidRPr="00277BEC">
        <w:rPr>
          <w:rFonts w:cs="Arial"/>
          <w:b/>
        </w:rPr>
        <w:instrText xml:space="preserve"> SEQ Figure \* ARABIC </w:instrText>
      </w:r>
      <w:r w:rsidR="00D71DDD" w:rsidRPr="00277BEC">
        <w:rPr>
          <w:rFonts w:cs="Arial"/>
          <w:b/>
        </w:rPr>
        <w:fldChar w:fldCharType="separate"/>
      </w:r>
      <w:r w:rsidR="00277BEC" w:rsidRPr="00277BEC">
        <w:rPr>
          <w:rFonts w:cs="Arial"/>
          <w:b/>
          <w:noProof/>
        </w:rPr>
        <w:t>1</w:t>
      </w:r>
      <w:r w:rsidR="00D71DDD" w:rsidRPr="00277BEC">
        <w:rPr>
          <w:rFonts w:cs="Arial"/>
          <w:b/>
        </w:rPr>
        <w:fldChar w:fldCharType="end"/>
      </w:r>
      <w:r w:rsidRPr="00277BEC">
        <w:rPr>
          <w:rFonts w:cs="Arial"/>
        </w:rPr>
        <w:t xml:space="preserve"> Methodology</w:t>
      </w:r>
      <w:bookmarkEnd w:id="27"/>
    </w:p>
    <w:p w14:paraId="18CD0DDD" w14:textId="77777777" w:rsidR="00A55FF1" w:rsidRPr="00277BEC" w:rsidRDefault="00A55FF1" w:rsidP="00D80B3B">
      <w:pPr>
        <w:pStyle w:val="BodyText"/>
        <w:jc w:val="left"/>
        <w:rPr>
          <w:rFonts w:ascii="Arial" w:hAnsi="Arial" w:cs="Arial"/>
        </w:rPr>
      </w:pPr>
      <w:r w:rsidRPr="00277BEC">
        <w:rPr>
          <w:rFonts w:ascii="Arial" w:hAnsi="Arial" w:cs="Arial"/>
        </w:rPr>
        <w:t>The review</w:t>
      </w:r>
      <w:r w:rsidR="00CE39AE" w:rsidRPr="00277BEC">
        <w:rPr>
          <w:rFonts w:ascii="Arial" w:hAnsi="Arial" w:cs="Arial"/>
        </w:rPr>
        <w:t xml:space="preserve"> </w:t>
      </w:r>
      <w:r w:rsidR="0055628B" w:rsidRPr="00277BEC">
        <w:rPr>
          <w:rFonts w:ascii="Arial" w:hAnsi="Arial" w:cs="Arial"/>
        </w:rPr>
        <w:t>aspect of the project</w:t>
      </w:r>
      <w:r w:rsidRPr="00277BEC">
        <w:rPr>
          <w:rFonts w:ascii="Arial" w:hAnsi="Arial" w:cs="Arial"/>
        </w:rPr>
        <w:t xml:space="preserve">, illustrated by the </w:t>
      </w:r>
      <w:r w:rsidR="005957DE" w:rsidRPr="00277BEC">
        <w:rPr>
          <w:rFonts w:ascii="Arial" w:hAnsi="Arial" w:cs="Arial"/>
        </w:rPr>
        <w:t>lighter</w:t>
      </w:r>
      <w:r w:rsidRPr="00277BEC">
        <w:rPr>
          <w:rFonts w:ascii="Arial" w:hAnsi="Arial" w:cs="Arial"/>
        </w:rPr>
        <w:t xml:space="preserve"> arrows in Figure 1</w:t>
      </w:r>
      <w:r w:rsidR="00F528ED" w:rsidRPr="00277BEC">
        <w:rPr>
          <w:rFonts w:ascii="Arial" w:hAnsi="Arial" w:cs="Arial"/>
        </w:rPr>
        <w:t>,</w:t>
      </w:r>
      <w:r w:rsidR="00CE39AE" w:rsidRPr="00277BEC">
        <w:rPr>
          <w:rFonts w:ascii="Arial" w:hAnsi="Arial" w:cs="Arial"/>
        </w:rPr>
        <w:t xml:space="preserve"> </w:t>
      </w:r>
      <w:r w:rsidR="00193F94" w:rsidRPr="00277BEC">
        <w:rPr>
          <w:rFonts w:ascii="Arial" w:hAnsi="Arial" w:cs="Arial"/>
        </w:rPr>
        <w:t xml:space="preserve">synthesises </w:t>
      </w:r>
      <w:r w:rsidR="00CE39AE" w:rsidRPr="00277BEC">
        <w:rPr>
          <w:rFonts w:ascii="Arial" w:hAnsi="Arial" w:cs="Arial"/>
        </w:rPr>
        <w:t xml:space="preserve">the various pieces of work, and the research that has been undertaken to date to align the </w:t>
      </w:r>
      <w:r w:rsidR="00B95C84" w:rsidRPr="00277BEC">
        <w:rPr>
          <w:rFonts w:ascii="Arial" w:hAnsi="Arial" w:cs="Arial"/>
        </w:rPr>
        <w:t>l</w:t>
      </w:r>
      <w:r w:rsidR="00CE39AE" w:rsidRPr="00277BEC">
        <w:rPr>
          <w:rFonts w:ascii="Arial" w:hAnsi="Arial" w:cs="Arial"/>
        </w:rPr>
        <w:t>earning</w:t>
      </w:r>
      <w:r w:rsidR="00B95C84" w:rsidRPr="00277BEC">
        <w:rPr>
          <w:rFonts w:ascii="Arial" w:hAnsi="Arial" w:cs="Arial"/>
        </w:rPr>
        <w:t xml:space="preserve"> p</w:t>
      </w:r>
      <w:r w:rsidR="00CE39AE" w:rsidRPr="00277BEC">
        <w:rPr>
          <w:rFonts w:ascii="Arial" w:hAnsi="Arial" w:cs="Arial"/>
        </w:rPr>
        <w:t xml:space="preserve">rogressions, </w:t>
      </w:r>
      <w:r w:rsidR="00320660" w:rsidRPr="00277BEC">
        <w:rPr>
          <w:rFonts w:ascii="Arial" w:hAnsi="Arial" w:cs="Arial"/>
        </w:rPr>
        <w:t xml:space="preserve">with both </w:t>
      </w:r>
      <w:r w:rsidR="00CE39AE" w:rsidRPr="00277BEC">
        <w:rPr>
          <w:rFonts w:ascii="Arial" w:hAnsi="Arial" w:cs="Arial"/>
        </w:rPr>
        <w:t xml:space="preserve">the </w:t>
      </w:r>
      <w:r w:rsidR="00B95C84" w:rsidRPr="00277BEC">
        <w:rPr>
          <w:rFonts w:ascii="Arial" w:hAnsi="Arial" w:cs="Arial"/>
        </w:rPr>
        <w:t xml:space="preserve">ALL </w:t>
      </w:r>
      <w:r w:rsidR="00CE39AE" w:rsidRPr="00277BEC">
        <w:rPr>
          <w:rFonts w:ascii="Arial" w:hAnsi="Arial" w:cs="Arial"/>
        </w:rPr>
        <w:t>levels, and the literacy and numeracy requirements for NCEA.</w:t>
      </w:r>
      <w:r w:rsidRPr="00277BEC">
        <w:rPr>
          <w:rFonts w:ascii="Arial" w:hAnsi="Arial" w:cs="Arial"/>
        </w:rPr>
        <w:t xml:space="preserve"> The research question is</w:t>
      </w:r>
      <w:r w:rsidR="00CE39AE" w:rsidRPr="00277BEC">
        <w:rPr>
          <w:rFonts w:ascii="Arial" w:hAnsi="Arial" w:cs="Arial"/>
        </w:rPr>
        <w:t>:</w:t>
      </w:r>
    </w:p>
    <w:p w14:paraId="3348AB07" w14:textId="77777777" w:rsidR="00C5194C" w:rsidRPr="00C5194C" w:rsidRDefault="00C5194C" w:rsidP="00C5194C">
      <w:pPr>
        <w:pStyle w:val="BodyText"/>
        <w:numPr>
          <w:ilvl w:val="0"/>
          <w:numId w:val="7"/>
        </w:numPr>
        <w:rPr>
          <w:rFonts w:ascii="Arial" w:hAnsi="Arial" w:cs="Arial"/>
          <w:b/>
        </w:rPr>
      </w:pPr>
      <w:r w:rsidRPr="00C5194C">
        <w:rPr>
          <w:rFonts w:ascii="Arial" w:hAnsi="Arial" w:cs="Arial"/>
          <w:b/>
        </w:rPr>
        <w:t xml:space="preserve">What do we already know about the alignments between the scales? </w:t>
      </w:r>
    </w:p>
    <w:p w14:paraId="5A1C0217" w14:textId="77777777" w:rsidR="00CE39AE" w:rsidRPr="00277BEC" w:rsidRDefault="00A55FF1" w:rsidP="00D80B3B">
      <w:pPr>
        <w:pStyle w:val="BodyText"/>
        <w:jc w:val="left"/>
        <w:rPr>
          <w:rFonts w:ascii="Arial" w:hAnsi="Arial" w:cs="Arial"/>
        </w:rPr>
      </w:pPr>
      <w:r w:rsidRPr="00277BEC">
        <w:rPr>
          <w:rFonts w:ascii="Arial" w:hAnsi="Arial" w:cs="Arial"/>
        </w:rPr>
        <w:t xml:space="preserve">The </w:t>
      </w:r>
      <w:r w:rsidR="00C11E3B" w:rsidRPr="00277BEC">
        <w:rPr>
          <w:rFonts w:ascii="Arial" w:hAnsi="Arial" w:cs="Arial"/>
        </w:rPr>
        <w:t>project al</w:t>
      </w:r>
      <w:r w:rsidR="002068D0" w:rsidRPr="00277BEC">
        <w:rPr>
          <w:rFonts w:ascii="Arial" w:hAnsi="Arial" w:cs="Arial"/>
        </w:rPr>
        <w:t>s</w:t>
      </w:r>
      <w:r w:rsidR="00C11E3B" w:rsidRPr="00277BEC">
        <w:rPr>
          <w:rFonts w:ascii="Arial" w:hAnsi="Arial" w:cs="Arial"/>
        </w:rPr>
        <w:t>o</w:t>
      </w:r>
      <w:r w:rsidR="002068D0" w:rsidRPr="00277BEC">
        <w:rPr>
          <w:rFonts w:ascii="Arial" w:hAnsi="Arial" w:cs="Arial"/>
        </w:rPr>
        <w:t xml:space="preserve"> invest</w:t>
      </w:r>
      <w:r w:rsidR="00C11E3B" w:rsidRPr="00277BEC">
        <w:rPr>
          <w:rFonts w:ascii="Arial" w:hAnsi="Arial" w:cs="Arial"/>
        </w:rPr>
        <w:t xml:space="preserve">igates alignments, as shown </w:t>
      </w:r>
      <w:r w:rsidR="00D7171F" w:rsidRPr="00277BEC">
        <w:rPr>
          <w:rFonts w:ascii="Arial" w:hAnsi="Arial" w:cs="Arial"/>
        </w:rPr>
        <w:t>by the</w:t>
      </w:r>
      <w:r w:rsidR="008A00B6" w:rsidRPr="00277BEC">
        <w:rPr>
          <w:rFonts w:ascii="Arial" w:hAnsi="Arial" w:cs="Arial"/>
        </w:rPr>
        <w:t xml:space="preserve"> </w:t>
      </w:r>
      <w:r w:rsidR="005957DE" w:rsidRPr="00277BEC">
        <w:rPr>
          <w:rFonts w:ascii="Arial" w:hAnsi="Arial" w:cs="Arial"/>
        </w:rPr>
        <w:t>darker</w:t>
      </w:r>
      <w:r w:rsidR="00320660" w:rsidRPr="00277BEC">
        <w:rPr>
          <w:rFonts w:ascii="Arial" w:hAnsi="Arial" w:cs="Arial"/>
        </w:rPr>
        <w:t xml:space="preserve"> a</w:t>
      </w:r>
      <w:r w:rsidR="00D7171F" w:rsidRPr="00277BEC">
        <w:rPr>
          <w:rFonts w:ascii="Arial" w:hAnsi="Arial" w:cs="Arial"/>
        </w:rPr>
        <w:t>rrows in Figure 1</w:t>
      </w:r>
      <w:r w:rsidR="00320660" w:rsidRPr="00277BEC">
        <w:rPr>
          <w:rFonts w:ascii="Arial" w:hAnsi="Arial" w:cs="Arial"/>
        </w:rPr>
        <w:t xml:space="preserve">. </w:t>
      </w:r>
      <w:r w:rsidRPr="00277BEC">
        <w:rPr>
          <w:rFonts w:ascii="Arial" w:hAnsi="Arial" w:cs="Arial"/>
        </w:rPr>
        <w:t>Learners’</w:t>
      </w:r>
      <w:r w:rsidR="00CE39AE" w:rsidRPr="00277BEC">
        <w:rPr>
          <w:rFonts w:ascii="Arial" w:hAnsi="Arial" w:cs="Arial"/>
        </w:rPr>
        <w:t xml:space="preserve"> achievement data </w:t>
      </w:r>
      <w:r w:rsidRPr="00277BEC">
        <w:rPr>
          <w:rFonts w:ascii="Arial" w:hAnsi="Arial" w:cs="Arial"/>
        </w:rPr>
        <w:t xml:space="preserve">is used </w:t>
      </w:r>
      <w:r w:rsidR="00CE39AE" w:rsidRPr="00277BEC">
        <w:rPr>
          <w:rFonts w:ascii="Arial" w:hAnsi="Arial" w:cs="Arial"/>
        </w:rPr>
        <w:t>to elucidate the alignment</w:t>
      </w:r>
      <w:r w:rsidR="00806F0E" w:rsidRPr="00277BEC">
        <w:rPr>
          <w:rFonts w:ascii="Arial" w:hAnsi="Arial" w:cs="Arial"/>
        </w:rPr>
        <w:t>s</w:t>
      </w:r>
      <w:r w:rsidR="00CE39AE" w:rsidRPr="00277BEC">
        <w:rPr>
          <w:rFonts w:ascii="Arial" w:hAnsi="Arial" w:cs="Arial"/>
        </w:rPr>
        <w:t xml:space="preserve"> between the </w:t>
      </w:r>
      <w:r w:rsidR="00EF7E7D" w:rsidRPr="00277BEC">
        <w:rPr>
          <w:rFonts w:ascii="Arial" w:hAnsi="Arial" w:cs="Arial"/>
        </w:rPr>
        <w:t>learning p</w:t>
      </w:r>
      <w:r w:rsidRPr="00277BEC">
        <w:rPr>
          <w:rFonts w:ascii="Arial" w:hAnsi="Arial" w:cs="Arial"/>
        </w:rPr>
        <w:t xml:space="preserve">rogressions and two other scales: the </w:t>
      </w:r>
      <w:r w:rsidR="00CE39AE" w:rsidRPr="00277BEC">
        <w:rPr>
          <w:rFonts w:ascii="Arial" w:hAnsi="Arial" w:cs="Arial"/>
        </w:rPr>
        <w:t xml:space="preserve">literacy and numeracy requirements </w:t>
      </w:r>
      <w:r w:rsidR="00D7171F" w:rsidRPr="00277BEC">
        <w:rPr>
          <w:rFonts w:ascii="Arial" w:hAnsi="Arial" w:cs="Arial"/>
        </w:rPr>
        <w:t xml:space="preserve">for NCEA </w:t>
      </w:r>
      <w:r w:rsidR="00CE39AE" w:rsidRPr="00277BEC">
        <w:rPr>
          <w:rFonts w:ascii="Arial" w:hAnsi="Arial" w:cs="Arial"/>
        </w:rPr>
        <w:t>and the</w:t>
      </w:r>
      <w:r w:rsidRPr="00277BEC">
        <w:rPr>
          <w:rFonts w:ascii="Arial" w:hAnsi="Arial" w:cs="Arial"/>
        </w:rPr>
        <w:t xml:space="preserve"> National Standards</w:t>
      </w:r>
      <w:r w:rsidR="00CE39AE" w:rsidRPr="00277BEC">
        <w:rPr>
          <w:rFonts w:ascii="Arial" w:hAnsi="Arial" w:cs="Arial"/>
        </w:rPr>
        <w:t>. The research questions are:</w:t>
      </w:r>
    </w:p>
    <w:p w14:paraId="7F89231D" w14:textId="77777777" w:rsidR="001B0891" w:rsidRPr="00277BEC" w:rsidRDefault="00F528ED" w:rsidP="00D80B3B">
      <w:pPr>
        <w:pStyle w:val="BodyText"/>
        <w:numPr>
          <w:ilvl w:val="0"/>
          <w:numId w:val="7"/>
        </w:numPr>
        <w:jc w:val="left"/>
        <w:rPr>
          <w:rFonts w:ascii="Arial" w:hAnsi="Arial" w:cs="Arial"/>
        </w:rPr>
      </w:pPr>
      <w:proofErr w:type="gramStart"/>
      <w:r w:rsidRPr="00277BEC">
        <w:rPr>
          <w:rFonts w:ascii="Arial" w:hAnsi="Arial" w:cs="Arial"/>
        </w:rPr>
        <w:lastRenderedPageBreak/>
        <w:t>Are</w:t>
      </w:r>
      <w:proofErr w:type="gramEnd"/>
      <w:r w:rsidRPr="00277BEC">
        <w:rPr>
          <w:rFonts w:ascii="Arial" w:hAnsi="Arial" w:cs="Arial"/>
        </w:rPr>
        <w:t xml:space="preserve"> either or both of the unit and achievement standards pathways to the literacy and numeracy requirements associ</w:t>
      </w:r>
      <w:r w:rsidR="001B0891" w:rsidRPr="00277BEC">
        <w:rPr>
          <w:rFonts w:ascii="Arial" w:hAnsi="Arial" w:cs="Arial"/>
        </w:rPr>
        <w:t>ated with students achieving a L</w:t>
      </w:r>
      <w:r w:rsidRPr="00277BEC">
        <w:rPr>
          <w:rFonts w:ascii="Arial" w:hAnsi="Arial" w:cs="Arial"/>
        </w:rPr>
        <w:t xml:space="preserve">evel 2 NCEA </w:t>
      </w:r>
      <w:r w:rsidR="007253E9" w:rsidRPr="00277BEC">
        <w:rPr>
          <w:rFonts w:ascii="Arial" w:hAnsi="Arial" w:cs="Arial"/>
        </w:rPr>
        <w:t>qualification</w:t>
      </w:r>
      <w:r w:rsidRPr="00277BEC">
        <w:rPr>
          <w:rFonts w:ascii="Arial" w:hAnsi="Arial" w:cs="Arial"/>
        </w:rPr>
        <w:t>?</w:t>
      </w:r>
    </w:p>
    <w:p w14:paraId="4B150BEA" w14:textId="7F00B349" w:rsidR="007253E9" w:rsidRPr="00277BEC" w:rsidRDefault="007253E9" w:rsidP="00D80B3B">
      <w:pPr>
        <w:pStyle w:val="BodyText"/>
        <w:numPr>
          <w:ilvl w:val="0"/>
          <w:numId w:val="7"/>
        </w:numPr>
        <w:jc w:val="left"/>
        <w:rPr>
          <w:rFonts w:ascii="Arial" w:hAnsi="Arial" w:cs="Arial"/>
        </w:rPr>
      </w:pPr>
      <w:r w:rsidRPr="00277BEC">
        <w:rPr>
          <w:rFonts w:ascii="Arial" w:hAnsi="Arial" w:cs="Arial"/>
        </w:rPr>
        <w:t>What is the distribution on the Assessment Tool</w:t>
      </w:r>
      <w:r w:rsidR="00AE2961" w:rsidRPr="00277BEC">
        <w:rPr>
          <w:rFonts w:ascii="Arial" w:hAnsi="Arial" w:cs="Arial"/>
        </w:rPr>
        <w:t xml:space="preserve"> scales</w:t>
      </w:r>
      <w:r w:rsidRPr="00277BEC">
        <w:rPr>
          <w:rFonts w:ascii="Arial" w:hAnsi="Arial" w:cs="Arial"/>
        </w:rPr>
        <w:t xml:space="preserve">, and by extension, on the </w:t>
      </w:r>
      <w:r w:rsidR="00043FC0" w:rsidRPr="00277BEC">
        <w:rPr>
          <w:rFonts w:ascii="Arial" w:hAnsi="Arial" w:cs="Arial"/>
        </w:rPr>
        <w:t>l</w:t>
      </w:r>
      <w:r w:rsidRPr="00277BEC">
        <w:rPr>
          <w:rFonts w:ascii="Arial" w:hAnsi="Arial" w:cs="Arial"/>
        </w:rPr>
        <w:t>ea</w:t>
      </w:r>
      <w:r w:rsidR="00043FC0" w:rsidRPr="00277BEC">
        <w:rPr>
          <w:rFonts w:ascii="Arial" w:hAnsi="Arial" w:cs="Arial"/>
        </w:rPr>
        <w:t>rning p</w:t>
      </w:r>
      <w:r w:rsidR="001B0891" w:rsidRPr="00277BEC">
        <w:rPr>
          <w:rFonts w:ascii="Arial" w:hAnsi="Arial" w:cs="Arial"/>
        </w:rPr>
        <w:t>rogressions, of students</w:t>
      </w:r>
      <w:r w:rsidRPr="00277BEC">
        <w:rPr>
          <w:rFonts w:ascii="Arial" w:hAnsi="Arial" w:cs="Arial"/>
        </w:rPr>
        <w:t xml:space="preserve"> who gain NCEA requirements?</w:t>
      </w:r>
    </w:p>
    <w:p w14:paraId="0176FDEF" w14:textId="41E64B78" w:rsidR="003708DE" w:rsidRPr="00277BEC" w:rsidRDefault="00CE39AE" w:rsidP="00D80B3B">
      <w:pPr>
        <w:pStyle w:val="BodyText"/>
        <w:numPr>
          <w:ilvl w:val="0"/>
          <w:numId w:val="7"/>
        </w:numPr>
        <w:jc w:val="left"/>
        <w:rPr>
          <w:rFonts w:ascii="Arial" w:hAnsi="Arial" w:cs="Arial"/>
        </w:rPr>
      </w:pPr>
      <w:r w:rsidRPr="00277BEC">
        <w:rPr>
          <w:rFonts w:ascii="Arial" w:hAnsi="Arial" w:cs="Arial"/>
        </w:rPr>
        <w:t>What is the distribution on the Assessment Tool</w:t>
      </w:r>
      <w:r w:rsidR="00AE2961" w:rsidRPr="00277BEC">
        <w:rPr>
          <w:rFonts w:ascii="Arial" w:hAnsi="Arial" w:cs="Arial"/>
        </w:rPr>
        <w:t xml:space="preserve"> scales</w:t>
      </w:r>
      <w:r w:rsidRPr="00277BEC">
        <w:rPr>
          <w:rFonts w:ascii="Arial" w:hAnsi="Arial" w:cs="Arial"/>
        </w:rPr>
        <w:t xml:space="preserve">, and by extension, on the </w:t>
      </w:r>
      <w:r w:rsidR="00043FC0" w:rsidRPr="00277BEC">
        <w:rPr>
          <w:rFonts w:ascii="Arial" w:hAnsi="Arial" w:cs="Arial"/>
        </w:rPr>
        <w:t>learning p</w:t>
      </w:r>
      <w:r w:rsidRPr="00277BEC">
        <w:rPr>
          <w:rFonts w:ascii="Arial" w:hAnsi="Arial" w:cs="Arial"/>
        </w:rPr>
        <w:t xml:space="preserve">rogressions, of </w:t>
      </w:r>
      <w:r w:rsidR="001B0891" w:rsidRPr="00277BEC">
        <w:rPr>
          <w:rFonts w:ascii="Arial" w:hAnsi="Arial" w:cs="Arial"/>
        </w:rPr>
        <w:t>students</w:t>
      </w:r>
      <w:r w:rsidRPr="00277BEC">
        <w:rPr>
          <w:rFonts w:ascii="Arial" w:hAnsi="Arial" w:cs="Arial"/>
        </w:rPr>
        <w:t xml:space="preserve"> who are assessed as being </w:t>
      </w:r>
      <w:r w:rsidRPr="00277BEC">
        <w:rPr>
          <w:rFonts w:ascii="Arial" w:hAnsi="Arial" w:cs="Arial"/>
          <w:i/>
        </w:rPr>
        <w:t>at</w:t>
      </w:r>
      <w:r w:rsidRPr="00277BEC">
        <w:rPr>
          <w:rFonts w:ascii="Arial" w:hAnsi="Arial" w:cs="Arial"/>
        </w:rPr>
        <w:t xml:space="preserve"> the </w:t>
      </w:r>
      <w:r w:rsidR="00EA6C7C" w:rsidRPr="00277BEC">
        <w:rPr>
          <w:rFonts w:ascii="Arial" w:hAnsi="Arial" w:cs="Arial"/>
        </w:rPr>
        <w:t>End of Year 8</w:t>
      </w:r>
      <w:r w:rsidRPr="00277BEC">
        <w:rPr>
          <w:rFonts w:ascii="Arial" w:hAnsi="Arial" w:cs="Arial"/>
        </w:rPr>
        <w:t xml:space="preserve"> National Standard in reading</w:t>
      </w:r>
      <w:r w:rsidR="00AE2961" w:rsidRPr="00277BEC">
        <w:rPr>
          <w:rFonts w:ascii="Arial" w:hAnsi="Arial" w:cs="Arial"/>
        </w:rPr>
        <w:t xml:space="preserve"> </w:t>
      </w:r>
      <w:r w:rsidRPr="00277BEC">
        <w:rPr>
          <w:rFonts w:ascii="Arial" w:hAnsi="Arial" w:cs="Arial"/>
        </w:rPr>
        <w:t xml:space="preserve">and mathematics? </w:t>
      </w:r>
    </w:p>
    <w:p w14:paraId="4CF858D8" w14:textId="77777777" w:rsidR="00412ED5" w:rsidRPr="00277BEC" w:rsidRDefault="00320660" w:rsidP="00D80B3B">
      <w:pPr>
        <w:pStyle w:val="BodyText"/>
        <w:jc w:val="left"/>
        <w:rPr>
          <w:rFonts w:ascii="Arial" w:hAnsi="Arial" w:cs="Arial"/>
        </w:rPr>
      </w:pPr>
      <w:r w:rsidRPr="00277BEC">
        <w:rPr>
          <w:rFonts w:ascii="Arial" w:hAnsi="Arial" w:cs="Arial"/>
        </w:rPr>
        <w:t xml:space="preserve">Results from both aspects of the project inform the </w:t>
      </w:r>
      <w:r w:rsidR="003708DE" w:rsidRPr="00277BEC">
        <w:rPr>
          <w:rFonts w:ascii="Arial" w:hAnsi="Arial" w:cs="Arial"/>
        </w:rPr>
        <w:t>final</w:t>
      </w:r>
      <w:r w:rsidRPr="00277BEC">
        <w:rPr>
          <w:rFonts w:ascii="Arial" w:hAnsi="Arial" w:cs="Arial"/>
        </w:rPr>
        <w:t xml:space="preserve"> research question:</w:t>
      </w:r>
    </w:p>
    <w:p w14:paraId="6E7537F3" w14:textId="447CD023" w:rsidR="00412ED5" w:rsidRPr="00277BEC" w:rsidRDefault="00754309" w:rsidP="00D80B3B">
      <w:pPr>
        <w:pStyle w:val="BodyText"/>
        <w:numPr>
          <w:ilvl w:val="0"/>
          <w:numId w:val="7"/>
        </w:numPr>
        <w:jc w:val="left"/>
        <w:rPr>
          <w:rFonts w:ascii="Arial" w:hAnsi="Arial" w:cs="Arial"/>
        </w:rPr>
      </w:pPr>
      <w:r w:rsidRPr="00277BEC">
        <w:rPr>
          <w:rFonts w:ascii="Arial" w:hAnsi="Arial" w:cs="Arial"/>
        </w:rPr>
        <w:t xml:space="preserve">What would constitute an integrated mechanism for identifying individuals </w:t>
      </w:r>
      <w:r w:rsidR="00D71DDD" w:rsidRPr="00277BEC">
        <w:rPr>
          <w:rFonts w:ascii="Arial" w:hAnsi="Arial" w:cs="Arial"/>
        </w:rPr>
        <w:t>below the literacy and numeracy</w:t>
      </w:r>
      <w:r w:rsidR="00CA6637" w:rsidRPr="00277BEC">
        <w:rPr>
          <w:rFonts w:ascii="Arial" w:hAnsi="Arial" w:cs="Arial"/>
        </w:rPr>
        <w:t xml:space="preserve"> benchmarks</w:t>
      </w:r>
      <w:r w:rsidR="00EF7E7D" w:rsidRPr="00277BEC">
        <w:rPr>
          <w:rFonts w:ascii="Arial" w:hAnsi="Arial" w:cs="Arial"/>
        </w:rPr>
        <w:t xml:space="preserve"> </w:t>
      </w:r>
      <w:r w:rsidRPr="00277BEC">
        <w:rPr>
          <w:rFonts w:ascii="Arial" w:hAnsi="Arial" w:cs="Arial"/>
        </w:rPr>
        <w:t>(</w:t>
      </w:r>
      <w:r w:rsidR="00D80B3B">
        <w:rPr>
          <w:rFonts w:ascii="Arial" w:hAnsi="Arial" w:cs="Arial"/>
        </w:rPr>
        <w:t>S</w:t>
      </w:r>
      <w:r w:rsidR="00CA6637" w:rsidRPr="00277BEC">
        <w:rPr>
          <w:rFonts w:ascii="Arial" w:hAnsi="Arial" w:cs="Arial"/>
        </w:rPr>
        <w:t xml:space="preserve">tep 4 of the reading progressions and </w:t>
      </w:r>
      <w:r w:rsidR="00D80B3B">
        <w:rPr>
          <w:rFonts w:ascii="Arial" w:hAnsi="Arial" w:cs="Arial"/>
        </w:rPr>
        <w:t>S</w:t>
      </w:r>
      <w:r w:rsidR="00CA6637" w:rsidRPr="00277BEC">
        <w:rPr>
          <w:rFonts w:ascii="Arial" w:hAnsi="Arial" w:cs="Arial"/>
        </w:rPr>
        <w:t>tep 5 of the numeracy progressions)?</w:t>
      </w:r>
    </w:p>
    <w:p w14:paraId="21F056A5" w14:textId="77777777" w:rsidR="00474A11" w:rsidRPr="00277BEC" w:rsidRDefault="00D04483" w:rsidP="00430F68">
      <w:pPr>
        <w:pStyle w:val="Heading2"/>
        <w:rPr>
          <w:rFonts w:cs="Arial"/>
        </w:rPr>
      </w:pPr>
      <w:bookmarkStart w:id="28" w:name="_Toc262207813"/>
      <w:bookmarkStart w:id="29" w:name="_Toc262207858"/>
      <w:bookmarkStart w:id="30" w:name="_Toc262207907"/>
      <w:bookmarkStart w:id="31" w:name="_Toc264282840"/>
      <w:bookmarkStart w:id="32" w:name="_Toc417920178"/>
      <w:r w:rsidRPr="00277BEC">
        <w:rPr>
          <w:rFonts w:cs="Arial"/>
        </w:rPr>
        <w:t>Data sources</w:t>
      </w:r>
      <w:r w:rsidR="00412ED5" w:rsidRPr="00277BEC">
        <w:rPr>
          <w:rFonts w:cs="Arial"/>
        </w:rPr>
        <w:t xml:space="preserve"> and p</w:t>
      </w:r>
      <w:r w:rsidR="00474A11" w:rsidRPr="00277BEC">
        <w:rPr>
          <w:rFonts w:cs="Arial"/>
        </w:rPr>
        <w:t>articipants</w:t>
      </w:r>
      <w:bookmarkEnd w:id="28"/>
      <w:bookmarkEnd w:id="29"/>
      <w:bookmarkEnd w:id="30"/>
      <w:bookmarkEnd w:id="31"/>
      <w:bookmarkEnd w:id="32"/>
    </w:p>
    <w:p w14:paraId="1C38CB0A" w14:textId="3E55D812" w:rsidR="00350EF1" w:rsidRPr="00277BEC" w:rsidRDefault="003708DE" w:rsidP="00D80B3B">
      <w:pPr>
        <w:pStyle w:val="BodyText"/>
        <w:jc w:val="left"/>
        <w:rPr>
          <w:rFonts w:ascii="Arial" w:hAnsi="Arial" w:cs="Arial"/>
        </w:rPr>
      </w:pPr>
      <w:r w:rsidRPr="00277BEC">
        <w:rPr>
          <w:rFonts w:ascii="Arial" w:hAnsi="Arial" w:cs="Arial"/>
        </w:rPr>
        <w:t>Two main pieces of work were reviewed i</w:t>
      </w:r>
      <w:r w:rsidR="006E3CD2" w:rsidRPr="00277BEC">
        <w:rPr>
          <w:rFonts w:ascii="Arial" w:hAnsi="Arial" w:cs="Arial"/>
        </w:rPr>
        <w:t>n order to examine the previously described l</w:t>
      </w:r>
      <w:r w:rsidR="00B95C84" w:rsidRPr="00277BEC">
        <w:rPr>
          <w:rFonts w:ascii="Arial" w:hAnsi="Arial" w:cs="Arial"/>
        </w:rPr>
        <w:t>inks between the steps of the learning p</w:t>
      </w:r>
      <w:r w:rsidR="006E3CD2" w:rsidRPr="00277BEC">
        <w:rPr>
          <w:rFonts w:ascii="Arial" w:hAnsi="Arial" w:cs="Arial"/>
        </w:rPr>
        <w:t xml:space="preserve">rogressions </w:t>
      </w:r>
      <w:r w:rsidRPr="00277BEC">
        <w:rPr>
          <w:rFonts w:ascii="Arial" w:hAnsi="Arial" w:cs="Arial"/>
        </w:rPr>
        <w:t>and the ALL</w:t>
      </w:r>
      <w:r w:rsidR="006E3CD2" w:rsidRPr="00277BEC">
        <w:rPr>
          <w:rFonts w:ascii="Arial" w:hAnsi="Arial" w:cs="Arial"/>
        </w:rPr>
        <w:t xml:space="preserve"> levels</w:t>
      </w:r>
      <w:r w:rsidR="00350EF1" w:rsidRPr="00277BEC">
        <w:rPr>
          <w:rFonts w:ascii="Arial" w:hAnsi="Arial" w:cs="Arial"/>
        </w:rPr>
        <w:t xml:space="preserve">. The first of these originated from the work of </w:t>
      </w:r>
      <w:r w:rsidR="001B0891" w:rsidRPr="00277BEC">
        <w:rPr>
          <w:rFonts w:ascii="Arial" w:hAnsi="Arial" w:cs="Arial"/>
        </w:rPr>
        <w:t xml:space="preserve">the </w:t>
      </w:r>
      <w:r w:rsidR="00350EF1" w:rsidRPr="00277BEC">
        <w:rPr>
          <w:rFonts w:ascii="Arial" w:hAnsi="Arial" w:cs="Arial"/>
        </w:rPr>
        <w:t>N</w:t>
      </w:r>
      <w:r w:rsidRPr="00277BEC">
        <w:rPr>
          <w:rFonts w:ascii="Arial" w:hAnsi="Arial" w:cs="Arial"/>
        </w:rPr>
        <w:t>ew Zealand Council for Educational Research (</w:t>
      </w:r>
      <w:r w:rsidR="008809B7" w:rsidRPr="00277BEC">
        <w:rPr>
          <w:rFonts w:ascii="Arial" w:hAnsi="Arial" w:cs="Arial"/>
        </w:rPr>
        <w:t>N</w:t>
      </w:r>
      <w:r w:rsidR="00350EF1" w:rsidRPr="00277BEC">
        <w:rPr>
          <w:rFonts w:ascii="Arial" w:hAnsi="Arial" w:cs="Arial"/>
        </w:rPr>
        <w:t>ZCER</w:t>
      </w:r>
      <w:r w:rsidR="008809B7" w:rsidRPr="00277BEC">
        <w:rPr>
          <w:rFonts w:ascii="Arial" w:hAnsi="Arial" w:cs="Arial"/>
        </w:rPr>
        <w:t>)</w:t>
      </w:r>
      <w:r w:rsidR="00350EF1" w:rsidRPr="00277BEC">
        <w:rPr>
          <w:rFonts w:ascii="Arial" w:hAnsi="Arial" w:cs="Arial"/>
        </w:rPr>
        <w:t xml:space="preserve"> and was based on the inclusion of </w:t>
      </w:r>
      <w:r w:rsidR="008809B7" w:rsidRPr="00277BEC">
        <w:rPr>
          <w:rFonts w:ascii="Arial" w:hAnsi="Arial" w:cs="Arial"/>
        </w:rPr>
        <w:t>ALL</w:t>
      </w:r>
      <w:r w:rsidR="00350EF1" w:rsidRPr="00277BEC">
        <w:rPr>
          <w:rFonts w:ascii="Arial" w:hAnsi="Arial" w:cs="Arial"/>
        </w:rPr>
        <w:t xml:space="preserve"> assessment items in the calibration of the Assessment Tool as it was being developed (</w:t>
      </w:r>
      <w:r w:rsidR="007C3B50" w:rsidRPr="00277BEC">
        <w:rPr>
          <w:rFonts w:ascii="Arial" w:hAnsi="Arial" w:cs="Arial"/>
        </w:rPr>
        <w:t>NZCER</w:t>
      </w:r>
      <w:r w:rsidR="00350EF1" w:rsidRPr="00277BEC">
        <w:rPr>
          <w:rFonts w:ascii="Arial" w:hAnsi="Arial" w:cs="Arial"/>
        </w:rPr>
        <w:t xml:space="preserve">, </w:t>
      </w:r>
      <w:r w:rsidR="008E09D2" w:rsidRPr="00277BEC">
        <w:rPr>
          <w:rFonts w:ascii="Arial" w:hAnsi="Arial" w:cs="Arial"/>
        </w:rPr>
        <w:t>2010a</w:t>
      </w:r>
      <w:r w:rsidR="007C3B50" w:rsidRPr="00277BEC">
        <w:rPr>
          <w:rFonts w:ascii="Arial" w:hAnsi="Arial" w:cs="Arial"/>
        </w:rPr>
        <w:t xml:space="preserve">, </w:t>
      </w:r>
      <w:r w:rsidR="002A3F35" w:rsidRPr="00277BEC">
        <w:rPr>
          <w:rFonts w:ascii="Arial" w:hAnsi="Arial" w:cs="Arial"/>
        </w:rPr>
        <w:t>2010b</w:t>
      </w:r>
      <w:r w:rsidR="00350EF1" w:rsidRPr="00277BEC">
        <w:rPr>
          <w:rFonts w:ascii="Arial" w:hAnsi="Arial" w:cs="Arial"/>
        </w:rPr>
        <w:t xml:space="preserve">). The second of these followed on from the administration of the </w:t>
      </w:r>
      <w:r w:rsidR="008809B7" w:rsidRPr="00277BEC">
        <w:rPr>
          <w:rFonts w:ascii="Arial" w:hAnsi="Arial" w:cs="Arial"/>
        </w:rPr>
        <w:t>ALL</w:t>
      </w:r>
      <w:r w:rsidR="00350EF1" w:rsidRPr="00277BEC">
        <w:rPr>
          <w:rFonts w:ascii="Arial" w:hAnsi="Arial" w:cs="Arial"/>
        </w:rPr>
        <w:t xml:space="preserve"> </w:t>
      </w:r>
      <w:r w:rsidR="001E07AC" w:rsidRPr="00277BEC">
        <w:rPr>
          <w:rFonts w:ascii="Arial" w:hAnsi="Arial" w:cs="Arial"/>
        </w:rPr>
        <w:t xml:space="preserve">survey </w:t>
      </w:r>
      <w:r w:rsidR="00350EF1" w:rsidRPr="00277BEC">
        <w:rPr>
          <w:rFonts w:ascii="Arial" w:hAnsi="Arial" w:cs="Arial"/>
        </w:rPr>
        <w:t xml:space="preserve">in New Zealand in 2006, and involved identifying learners that had a result on the </w:t>
      </w:r>
      <w:r w:rsidR="000E4D78" w:rsidRPr="00277BEC">
        <w:rPr>
          <w:rFonts w:ascii="Arial" w:hAnsi="Arial" w:cs="Arial"/>
        </w:rPr>
        <w:t>Assessment</w:t>
      </w:r>
      <w:r w:rsidR="00350EF1" w:rsidRPr="00277BEC">
        <w:rPr>
          <w:rFonts w:ascii="Arial" w:hAnsi="Arial" w:cs="Arial"/>
        </w:rPr>
        <w:t xml:space="preserve"> Tool from within the sample of adults who had participated in the </w:t>
      </w:r>
      <w:r w:rsidR="008809B7" w:rsidRPr="00277BEC">
        <w:rPr>
          <w:rFonts w:ascii="Arial" w:hAnsi="Arial" w:cs="Arial"/>
        </w:rPr>
        <w:t>ALL</w:t>
      </w:r>
      <w:r w:rsidR="00350EF1" w:rsidRPr="00277BEC">
        <w:rPr>
          <w:rFonts w:ascii="Arial" w:hAnsi="Arial" w:cs="Arial"/>
        </w:rPr>
        <w:t xml:space="preserve"> data collection (</w:t>
      </w:r>
      <w:r w:rsidR="00564ED3" w:rsidRPr="00277BEC">
        <w:rPr>
          <w:rFonts w:ascii="Arial" w:hAnsi="Arial" w:cs="Arial"/>
        </w:rPr>
        <w:t>Earle</w:t>
      </w:r>
      <w:r w:rsidR="00350EF1" w:rsidRPr="00277BEC">
        <w:rPr>
          <w:rFonts w:ascii="Arial" w:hAnsi="Arial" w:cs="Arial"/>
        </w:rPr>
        <w:t xml:space="preserve">, 2014). </w:t>
      </w:r>
      <w:r w:rsidR="000E4D78" w:rsidRPr="00277BEC">
        <w:rPr>
          <w:rFonts w:ascii="Arial" w:hAnsi="Arial" w:cs="Arial"/>
        </w:rPr>
        <w:t>Two technical reports for the Assessment Tool were also reviewed (NZCER, 2009</w:t>
      </w:r>
      <w:r w:rsidR="000A51CB" w:rsidRPr="00277BEC">
        <w:rPr>
          <w:rFonts w:ascii="Arial" w:hAnsi="Arial" w:cs="Arial"/>
        </w:rPr>
        <w:t>, 2009a</w:t>
      </w:r>
      <w:r w:rsidR="000E4D78" w:rsidRPr="00277BEC">
        <w:rPr>
          <w:rFonts w:ascii="Arial" w:hAnsi="Arial" w:cs="Arial"/>
        </w:rPr>
        <w:t xml:space="preserve">; NZCER, </w:t>
      </w:r>
      <w:r w:rsidR="008E09D2" w:rsidRPr="00277BEC">
        <w:rPr>
          <w:rFonts w:ascii="Arial" w:hAnsi="Arial" w:cs="Arial"/>
        </w:rPr>
        <w:t>2010a</w:t>
      </w:r>
      <w:r w:rsidR="000E4D78" w:rsidRPr="00277BEC">
        <w:rPr>
          <w:rFonts w:ascii="Arial" w:hAnsi="Arial" w:cs="Arial"/>
        </w:rPr>
        <w:t>).</w:t>
      </w:r>
    </w:p>
    <w:p w14:paraId="49D202F8" w14:textId="77777777" w:rsidR="0038433C" w:rsidRPr="00277BEC" w:rsidRDefault="00C11E3B" w:rsidP="00D80B3B">
      <w:pPr>
        <w:pStyle w:val="BodyText"/>
        <w:jc w:val="left"/>
        <w:rPr>
          <w:rFonts w:ascii="Arial" w:hAnsi="Arial" w:cs="Arial"/>
        </w:rPr>
      </w:pPr>
      <w:r w:rsidRPr="00277BEC">
        <w:rPr>
          <w:rFonts w:ascii="Arial" w:hAnsi="Arial" w:cs="Arial"/>
        </w:rPr>
        <w:t>Information from NZQA was used t</w:t>
      </w:r>
      <w:r w:rsidR="002068D0" w:rsidRPr="00277BEC">
        <w:rPr>
          <w:rFonts w:ascii="Arial" w:hAnsi="Arial" w:cs="Arial"/>
        </w:rPr>
        <w:t xml:space="preserve">o </w:t>
      </w:r>
      <w:r w:rsidRPr="00277BEC">
        <w:rPr>
          <w:rFonts w:ascii="Arial" w:hAnsi="Arial" w:cs="Arial"/>
        </w:rPr>
        <w:t>confirm</w:t>
      </w:r>
      <w:r w:rsidR="002068D0" w:rsidRPr="00277BEC">
        <w:rPr>
          <w:rFonts w:ascii="Arial" w:hAnsi="Arial" w:cs="Arial"/>
        </w:rPr>
        <w:t xml:space="preserve"> the established link between the </w:t>
      </w:r>
      <w:r w:rsidR="00DF623E" w:rsidRPr="00277BEC">
        <w:rPr>
          <w:rFonts w:ascii="Arial" w:hAnsi="Arial" w:cs="Arial"/>
        </w:rPr>
        <w:t>learning progressions</w:t>
      </w:r>
      <w:r w:rsidRPr="00277BEC">
        <w:rPr>
          <w:rFonts w:ascii="Arial" w:hAnsi="Arial" w:cs="Arial"/>
        </w:rPr>
        <w:t xml:space="preserve"> and the literacy and</w:t>
      </w:r>
      <w:r w:rsidR="001D4977" w:rsidRPr="00277BEC">
        <w:rPr>
          <w:rFonts w:ascii="Arial" w:hAnsi="Arial" w:cs="Arial"/>
        </w:rPr>
        <w:t xml:space="preserve"> numeracy requirements for NCEA. </w:t>
      </w:r>
    </w:p>
    <w:p w14:paraId="18C8B0C0" w14:textId="6B45A917" w:rsidR="00511659" w:rsidRPr="00277BEC" w:rsidRDefault="00E768CC" w:rsidP="00D80B3B">
      <w:pPr>
        <w:pStyle w:val="BodyText"/>
        <w:jc w:val="left"/>
        <w:rPr>
          <w:rFonts w:ascii="Arial" w:hAnsi="Arial" w:cs="Arial"/>
        </w:rPr>
      </w:pPr>
      <w:r w:rsidRPr="00277BEC">
        <w:rPr>
          <w:rFonts w:ascii="Arial" w:hAnsi="Arial" w:cs="Arial"/>
        </w:rPr>
        <w:t xml:space="preserve">Learner data was used to investigate the alignments. Two </w:t>
      </w:r>
      <w:r w:rsidR="00CA6637" w:rsidRPr="00277BEC">
        <w:rPr>
          <w:rFonts w:ascii="Arial" w:hAnsi="Arial" w:cs="Arial"/>
        </w:rPr>
        <w:t>data sources</w:t>
      </w:r>
      <w:r w:rsidRPr="00277BEC">
        <w:rPr>
          <w:rFonts w:ascii="Arial" w:hAnsi="Arial" w:cs="Arial"/>
        </w:rPr>
        <w:t xml:space="preserve"> were established for this purpose:</w:t>
      </w:r>
    </w:p>
    <w:p w14:paraId="66316241" w14:textId="6228D44B" w:rsidR="00511659" w:rsidRPr="00277BEC" w:rsidRDefault="00511659" w:rsidP="00D80B3B">
      <w:pPr>
        <w:pStyle w:val="ListParagraph"/>
        <w:numPr>
          <w:ilvl w:val="0"/>
          <w:numId w:val="8"/>
        </w:numPr>
        <w:jc w:val="left"/>
        <w:rPr>
          <w:rFonts w:ascii="Arial" w:hAnsi="Arial" w:cs="Arial"/>
        </w:rPr>
      </w:pPr>
      <w:r w:rsidRPr="00277BEC">
        <w:rPr>
          <w:rFonts w:ascii="Arial" w:hAnsi="Arial" w:cs="Arial"/>
        </w:rPr>
        <w:t xml:space="preserve">Tertiary </w:t>
      </w:r>
      <w:r w:rsidR="00CA6637" w:rsidRPr="00277BEC">
        <w:rPr>
          <w:rFonts w:ascii="Arial" w:hAnsi="Arial" w:cs="Arial"/>
        </w:rPr>
        <w:t>cohort</w:t>
      </w:r>
      <w:r w:rsidRPr="00277BEC">
        <w:rPr>
          <w:rFonts w:ascii="Arial" w:hAnsi="Arial" w:cs="Arial"/>
        </w:rPr>
        <w:t xml:space="preserve">. Approximately </w:t>
      </w:r>
      <w:r w:rsidR="00F77A73" w:rsidRPr="00277BEC">
        <w:rPr>
          <w:rFonts w:ascii="Arial" w:hAnsi="Arial" w:cs="Arial"/>
        </w:rPr>
        <w:t>36</w:t>
      </w:r>
      <w:r w:rsidRPr="00277BEC">
        <w:rPr>
          <w:rFonts w:ascii="Arial" w:hAnsi="Arial" w:cs="Arial"/>
        </w:rPr>
        <w:t xml:space="preserve">,000 students </w:t>
      </w:r>
      <w:r w:rsidR="003C564E" w:rsidRPr="00277BEC">
        <w:rPr>
          <w:rFonts w:ascii="Arial" w:hAnsi="Arial" w:cs="Arial"/>
        </w:rPr>
        <w:t>sourced from the administrative data sets of</w:t>
      </w:r>
      <w:r w:rsidRPr="00277BEC">
        <w:rPr>
          <w:rFonts w:ascii="Arial" w:hAnsi="Arial" w:cs="Arial"/>
        </w:rPr>
        <w:t xml:space="preserve"> </w:t>
      </w:r>
      <w:r w:rsidR="003C564E" w:rsidRPr="00277BEC">
        <w:rPr>
          <w:rFonts w:ascii="Arial" w:hAnsi="Arial" w:cs="Arial"/>
        </w:rPr>
        <w:t>NZQA and the Ministry of Education</w:t>
      </w:r>
      <w:r w:rsidR="007A2F7D" w:rsidRPr="00277BEC">
        <w:rPr>
          <w:rFonts w:ascii="Arial" w:hAnsi="Arial" w:cs="Arial"/>
        </w:rPr>
        <w:t xml:space="preserve">. </w:t>
      </w:r>
      <w:r w:rsidR="00F86241" w:rsidRPr="00277BEC">
        <w:rPr>
          <w:rFonts w:ascii="Arial" w:hAnsi="Arial" w:cs="Arial"/>
        </w:rPr>
        <w:t>This sample i</w:t>
      </w:r>
      <w:r w:rsidR="003C564E" w:rsidRPr="00277BEC">
        <w:rPr>
          <w:rFonts w:ascii="Arial" w:hAnsi="Arial" w:cs="Arial"/>
        </w:rPr>
        <w:t xml:space="preserve">ncluded all students aged </w:t>
      </w:r>
      <w:r w:rsidR="008809B7" w:rsidRPr="00277BEC">
        <w:rPr>
          <w:rFonts w:ascii="Arial" w:hAnsi="Arial" w:cs="Arial"/>
        </w:rPr>
        <w:t>16 to 20 years</w:t>
      </w:r>
      <w:r w:rsidR="003C564E" w:rsidRPr="00277BEC">
        <w:rPr>
          <w:rFonts w:ascii="Arial" w:hAnsi="Arial" w:cs="Arial"/>
        </w:rPr>
        <w:t xml:space="preserve"> that had a result</w:t>
      </w:r>
      <w:r w:rsidR="00953A79" w:rsidRPr="00277BEC">
        <w:rPr>
          <w:rFonts w:ascii="Arial" w:hAnsi="Arial" w:cs="Arial"/>
        </w:rPr>
        <w:t xml:space="preserve"> on the Assessment Tool in 2012</w:t>
      </w:r>
      <w:r w:rsidR="0008079A" w:rsidRPr="00277BEC">
        <w:rPr>
          <w:rStyle w:val="FootnoteReference"/>
          <w:rFonts w:ascii="Arial" w:hAnsi="Arial" w:cs="Arial"/>
        </w:rPr>
        <w:footnoteReference w:id="1"/>
      </w:r>
      <w:r w:rsidR="00953A79" w:rsidRPr="00277BEC">
        <w:rPr>
          <w:rFonts w:ascii="Arial" w:hAnsi="Arial" w:cs="Arial"/>
        </w:rPr>
        <w:t>.</w:t>
      </w:r>
      <w:r w:rsidR="003C564E" w:rsidRPr="00277BEC">
        <w:rPr>
          <w:rFonts w:ascii="Arial" w:hAnsi="Arial" w:cs="Arial"/>
        </w:rPr>
        <w:t xml:space="preserve"> </w:t>
      </w:r>
      <w:r w:rsidR="003D3ADB" w:rsidRPr="00277BEC">
        <w:rPr>
          <w:rFonts w:ascii="Arial" w:hAnsi="Arial" w:cs="Arial"/>
        </w:rPr>
        <w:t xml:space="preserve">It needs to be noted that this cohort includes students completing courses at Levels 1 to 3 of the </w:t>
      </w:r>
      <w:r w:rsidR="00D80B3B">
        <w:rPr>
          <w:rFonts w:ascii="Arial" w:hAnsi="Arial" w:cs="Arial"/>
        </w:rPr>
        <w:t>NZQF</w:t>
      </w:r>
      <w:r w:rsidR="003D3ADB" w:rsidRPr="00277BEC">
        <w:rPr>
          <w:rFonts w:ascii="Arial" w:hAnsi="Arial" w:cs="Arial"/>
        </w:rPr>
        <w:t xml:space="preserve"> and therefore excludes university students. </w:t>
      </w:r>
    </w:p>
    <w:p w14:paraId="0F9353C6" w14:textId="6CC39F02" w:rsidR="00511659" w:rsidRPr="00277BEC" w:rsidRDefault="00511659" w:rsidP="00921E83">
      <w:pPr>
        <w:pStyle w:val="ListParagraph"/>
        <w:numPr>
          <w:ilvl w:val="0"/>
          <w:numId w:val="8"/>
        </w:numPr>
        <w:jc w:val="left"/>
        <w:rPr>
          <w:rFonts w:ascii="Arial" w:hAnsi="Arial" w:cs="Arial"/>
        </w:rPr>
      </w:pPr>
      <w:r w:rsidRPr="00277BEC">
        <w:rPr>
          <w:rFonts w:ascii="Arial" w:hAnsi="Arial" w:cs="Arial"/>
        </w:rPr>
        <w:t xml:space="preserve">School sample. Approximately 1,000 students </w:t>
      </w:r>
      <w:r w:rsidR="00460603" w:rsidRPr="00277BEC">
        <w:rPr>
          <w:rFonts w:ascii="Arial" w:hAnsi="Arial" w:cs="Arial"/>
        </w:rPr>
        <w:t>from</w:t>
      </w:r>
      <w:r w:rsidR="00F86241" w:rsidRPr="00277BEC">
        <w:rPr>
          <w:rFonts w:ascii="Arial" w:hAnsi="Arial" w:cs="Arial"/>
        </w:rPr>
        <w:t xml:space="preserve"> </w:t>
      </w:r>
      <w:r w:rsidR="00921E83">
        <w:rPr>
          <w:rFonts w:ascii="Arial" w:hAnsi="Arial" w:cs="Arial"/>
        </w:rPr>
        <w:t>Y</w:t>
      </w:r>
      <w:r w:rsidR="00F86241" w:rsidRPr="00277BEC">
        <w:rPr>
          <w:rFonts w:ascii="Arial" w:hAnsi="Arial" w:cs="Arial"/>
        </w:rPr>
        <w:t>ear 8</w:t>
      </w:r>
      <w:r w:rsidR="00460603" w:rsidRPr="00277BEC">
        <w:rPr>
          <w:rFonts w:ascii="Arial" w:hAnsi="Arial" w:cs="Arial"/>
        </w:rPr>
        <w:t xml:space="preserve"> and 800 students from each of </w:t>
      </w:r>
      <w:r w:rsidR="00921E83">
        <w:rPr>
          <w:rFonts w:ascii="Arial" w:hAnsi="Arial" w:cs="Arial"/>
        </w:rPr>
        <w:t>Y</w:t>
      </w:r>
      <w:r w:rsidR="00460603" w:rsidRPr="00277BEC">
        <w:rPr>
          <w:rFonts w:ascii="Arial" w:hAnsi="Arial" w:cs="Arial"/>
        </w:rPr>
        <w:t>ears</w:t>
      </w:r>
      <w:r w:rsidR="00AE4EB9" w:rsidRPr="00277BEC">
        <w:rPr>
          <w:rFonts w:ascii="Arial" w:hAnsi="Arial" w:cs="Arial"/>
        </w:rPr>
        <w:t xml:space="preserve"> 11</w:t>
      </w:r>
      <w:r w:rsidR="00F86241" w:rsidRPr="00277BEC">
        <w:rPr>
          <w:rFonts w:ascii="Arial" w:hAnsi="Arial" w:cs="Arial"/>
        </w:rPr>
        <w:t xml:space="preserve"> and 12. This sample was sourced from </w:t>
      </w:r>
      <w:r w:rsidR="00880D80" w:rsidRPr="00277BEC">
        <w:rPr>
          <w:rFonts w:ascii="Arial" w:hAnsi="Arial" w:cs="Arial"/>
        </w:rPr>
        <w:t>15</w:t>
      </w:r>
      <w:r w:rsidR="00F86241" w:rsidRPr="00277BEC">
        <w:rPr>
          <w:rFonts w:ascii="Arial" w:hAnsi="Arial" w:cs="Arial"/>
        </w:rPr>
        <w:t xml:space="preserve"> participating schools to be r</w:t>
      </w:r>
      <w:r w:rsidRPr="00277BEC">
        <w:rPr>
          <w:rFonts w:ascii="Arial" w:hAnsi="Arial" w:cs="Arial"/>
        </w:rPr>
        <w:t xml:space="preserve">easonably representative by </w:t>
      </w:r>
      <w:r w:rsidR="00F86241" w:rsidRPr="00277BEC">
        <w:rPr>
          <w:rFonts w:ascii="Arial" w:hAnsi="Arial" w:cs="Arial"/>
        </w:rPr>
        <w:t xml:space="preserve">school </w:t>
      </w:r>
      <w:r w:rsidRPr="00277BEC">
        <w:rPr>
          <w:rFonts w:ascii="Arial" w:hAnsi="Arial" w:cs="Arial"/>
        </w:rPr>
        <w:t>decile</w:t>
      </w:r>
      <w:r w:rsidR="003F7EE6" w:rsidRPr="00277BEC">
        <w:rPr>
          <w:rFonts w:ascii="Arial" w:hAnsi="Arial" w:cs="Arial"/>
        </w:rPr>
        <w:t xml:space="preserve"> and ethnicity.</w:t>
      </w:r>
    </w:p>
    <w:p w14:paraId="1C52A205" w14:textId="77777777" w:rsidR="00026493" w:rsidRPr="00277BEC" w:rsidRDefault="00026493" w:rsidP="00921E83">
      <w:pPr>
        <w:jc w:val="left"/>
        <w:rPr>
          <w:rFonts w:ascii="Arial" w:hAnsi="Arial" w:cs="Arial"/>
        </w:rPr>
      </w:pPr>
      <w:r w:rsidRPr="00277BEC">
        <w:rPr>
          <w:rFonts w:ascii="Arial" w:hAnsi="Arial" w:cs="Arial"/>
        </w:rPr>
        <w:lastRenderedPageBreak/>
        <w:t>Three types of data were obtained for students in the tertiary and school samples:</w:t>
      </w:r>
    </w:p>
    <w:p w14:paraId="291E4B32" w14:textId="44F52B47" w:rsidR="00026493" w:rsidRPr="00277BEC" w:rsidRDefault="00026493" w:rsidP="00921E83">
      <w:pPr>
        <w:pStyle w:val="BodyText"/>
        <w:numPr>
          <w:ilvl w:val="0"/>
          <w:numId w:val="9"/>
        </w:numPr>
        <w:spacing w:after="0" w:line="276" w:lineRule="auto"/>
        <w:jc w:val="left"/>
        <w:rPr>
          <w:rFonts w:ascii="Arial" w:hAnsi="Arial" w:cs="Arial"/>
        </w:rPr>
      </w:pPr>
      <w:r w:rsidRPr="00277BEC">
        <w:rPr>
          <w:rFonts w:ascii="Arial" w:hAnsi="Arial" w:cs="Arial"/>
        </w:rPr>
        <w:t xml:space="preserve">Data from the Assessment Tool: reading and numeracy assessment results for students in the school </w:t>
      </w:r>
      <w:r w:rsidR="000539A9" w:rsidRPr="00277BEC">
        <w:rPr>
          <w:rFonts w:ascii="Arial" w:hAnsi="Arial" w:cs="Arial"/>
        </w:rPr>
        <w:t xml:space="preserve">sample </w:t>
      </w:r>
      <w:r w:rsidRPr="00277BEC">
        <w:rPr>
          <w:rFonts w:ascii="Arial" w:hAnsi="Arial" w:cs="Arial"/>
        </w:rPr>
        <w:t xml:space="preserve">and </w:t>
      </w:r>
      <w:r w:rsidR="000539A9" w:rsidRPr="00277BEC">
        <w:rPr>
          <w:rFonts w:ascii="Arial" w:hAnsi="Arial" w:cs="Arial"/>
        </w:rPr>
        <w:t>the tertiary cohort</w:t>
      </w:r>
      <w:r w:rsidRPr="00277BEC">
        <w:rPr>
          <w:rFonts w:ascii="Arial" w:hAnsi="Arial" w:cs="Arial"/>
        </w:rPr>
        <w:t xml:space="preserve">. </w:t>
      </w:r>
    </w:p>
    <w:p w14:paraId="0A378B8B" w14:textId="054E3EEB" w:rsidR="00026493" w:rsidRPr="00277BEC" w:rsidRDefault="00026493" w:rsidP="00921E83">
      <w:pPr>
        <w:pStyle w:val="BodyText"/>
        <w:numPr>
          <w:ilvl w:val="0"/>
          <w:numId w:val="9"/>
        </w:numPr>
        <w:spacing w:after="0" w:line="276" w:lineRule="auto"/>
        <w:jc w:val="left"/>
        <w:rPr>
          <w:rFonts w:ascii="Arial" w:hAnsi="Arial" w:cs="Arial"/>
        </w:rPr>
      </w:pPr>
      <w:r w:rsidRPr="00277BEC">
        <w:rPr>
          <w:rFonts w:ascii="Arial" w:hAnsi="Arial" w:cs="Arial"/>
        </w:rPr>
        <w:t xml:space="preserve">Data from NZQA in relation to students’ achievement against the literacy and numeracy requirements for NCEA, and subsequent performance in gaining a Level 1 or 2 qualification on the NZQF. This was obtained for all students in the </w:t>
      </w:r>
      <w:r w:rsidR="000539A9" w:rsidRPr="00277BEC">
        <w:rPr>
          <w:rFonts w:ascii="Arial" w:hAnsi="Arial" w:cs="Arial"/>
        </w:rPr>
        <w:t>tertiary cohort</w:t>
      </w:r>
      <w:r w:rsidRPr="00277BEC">
        <w:rPr>
          <w:rFonts w:ascii="Arial" w:hAnsi="Arial" w:cs="Arial"/>
        </w:rPr>
        <w:t xml:space="preserve">, and students in </w:t>
      </w:r>
      <w:r w:rsidR="00921E83">
        <w:rPr>
          <w:rFonts w:ascii="Arial" w:hAnsi="Arial" w:cs="Arial"/>
        </w:rPr>
        <w:t>Y</w:t>
      </w:r>
      <w:r w:rsidRPr="00277BEC">
        <w:rPr>
          <w:rFonts w:ascii="Arial" w:hAnsi="Arial" w:cs="Arial"/>
        </w:rPr>
        <w:t xml:space="preserve">ears 11 and 12 in the school sample. </w:t>
      </w:r>
    </w:p>
    <w:p w14:paraId="0FF106D3" w14:textId="25D07259" w:rsidR="00026493" w:rsidRPr="00277BEC" w:rsidRDefault="00026493" w:rsidP="00921E83">
      <w:pPr>
        <w:pStyle w:val="ListParagraph"/>
        <w:numPr>
          <w:ilvl w:val="0"/>
          <w:numId w:val="9"/>
        </w:numPr>
        <w:jc w:val="left"/>
        <w:rPr>
          <w:rFonts w:ascii="Arial" w:hAnsi="Arial" w:cs="Arial"/>
        </w:rPr>
      </w:pPr>
      <w:r w:rsidRPr="00277BEC">
        <w:rPr>
          <w:rFonts w:ascii="Arial" w:hAnsi="Arial" w:cs="Arial"/>
        </w:rPr>
        <w:t xml:space="preserve">Overall Teacher Judgments (OTJs) of students’ achievement in relation to the End of Year 8 National Standards in reading and mathematics in 2012. These were obtained for </w:t>
      </w:r>
      <w:r w:rsidR="00921E83">
        <w:rPr>
          <w:rFonts w:ascii="Arial" w:hAnsi="Arial" w:cs="Arial"/>
        </w:rPr>
        <w:t>Y</w:t>
      </w:r>
      <w:r w:rsidRPr="00277BEC">
        <w:rPr>
          <w:rFonts w:ascii="Arial" w:hAnsi="Arial" w:cs="Arial"/>
        </w:rPr>
        <w:t>ear 8 students in the school sample.</w:t>
      </w:r>
    </w:p>
    <w:p w14:paraId="2C9F9064" w14:textId="0ABCBBB6" w:rsidR="00026493" w:rsidRPr="00277BEC" w:rsidRDefault="00026493" w:rsidP="00921E83">
      <w:pPr>
        <w:pStyle w:val="BodyText"/>
        <w:jc w:val="left"/>
        <w:rPr>
          <w:rFonts w:ascii="Arial" w:hAnsi="Arial" w:cs="Arial"/>
        </w:rPr>
      </w:pPr>
      <w:r w:rsidRPr="00277BEC">
        <w:rPr>
          <w:rFonts w:ascii="Arial" w:hAnsi="Arial" w:cs="Arial"/>
        </w:rPr>
        <w:t xml:space="preserve">Table 2 summarises these data sources for the tertiary and school samples. </w:t>
      </w:r>
    </w:p>
    <w:p w14:paraId="0073079A" w14:textId="77777777" w:rsidR="00026493" w:rsidRPr="00277BEC" w:rsidRDefault="00026493" w:rsidP="00026493">
      <w:pPr>
        <w:pStyle w:val="Caption"/>
        <w:rPr>
          <w:rFonts w:cs="Arial"/>
        </w:rPr>
      </w:pPr>
      <w:bookmarkStart w:id="33" w:name="_Toc270604921"/>
      <w:r w:rsidRPr="00277BEC">
        <w:rPr>
          <w:rFonts w:cs="Arial"/>
          <w:b/>
        </w:rPr>
        <w:t xml:space="preserve">Table </w:t>
      </w:r>
      <w:r w:rsidRPr="00277BEC">
        <w:rPr>
          <w:rFonts w:cs="Arial"/>
          <w:b/>
        </w:rPr>
        <w:fldChar w:fldCharType="begin"/>
      </w:r>
      <w:r w:rsidRPr="00277BEC">
        <w:rPr>
          <w:rFonts w:cs="Arial"/>
          <w:b/>
        </w:rPr>
        <w:instrText xml:space="preserve"> SEQ Table \* ARABIC </w:instrText>
      </w:r>
      <w:r w:rsidRPr="00277BEC">
        <w:rPr>
          <w:rFonts w:cs="Arial"/>
          <w:b/>
        </w:rPr>
        <w:fldChar w:fldCharType="separate"/>
      </w:r>
      <w:r w:rsidR="00277BEC" w:rsidRPr="00277BEC">
        <w:rPr>
          <w:rFonts w:cs="Arial"/>
          <w:b/>
          <w:noProof/>
        </w:rPr>
        <w:t>2</w:t>
      </w:r>
      <w:r w:rsidRPr="00277BEC">
        <w:rPr>
          <w:rFonts w:cs="Arial"/>
          <w:b/>
        </w:rPr>
        <w:fldChar w:fldCharType="end"/>
      </w:r>
      <w:r w:rsidRPr="00277BEC">
        <w:rPr>
          <w:rFonts w:cs="Arial"/>
        </w:rPr>
        <w:t xml:space="preserve"> Data sources</w:t>
      </w:r>
      <w:bookmarkEnd w:id="33"/>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06"/>
        <w:gridCol w:w="976"/>
        <w:gridCol w:w="837"/>
        <w:gridCol w:w="2003"/>
        <w:gridCol w:w="1701"/>
        <w:gridCol w:w="1882"/>
      </w:tblGrid>
      <w:tr w:rsidR="00026493" w:rsidRPr="00277BEC" w14:paraId="2DF56273" w14:textId="77777777" w:rsidTr="00B24797">
        <w:trPr>
          <w:tblCellSpacing w:w="20" w:type="dxa"/>
        </w:trPr>
        <w:tc>
          <w:tcPr>
            <w:tcW w:w="0" w:type="auto"/>
            <w:gridSpan w:val="2"/>
          </w:tcPr>
          <w:p w14:paraId="57F7460F" w14:textId="77777777" w:rsidR="00026493" w:rsidRPr="00277BEC" w:rsidRDefault="00026493" w:rsidP="00B24797">
            <w:pPr>
              <w:pStyle w:val="Tabletext"/>
              <w:jc w:val="left"/>
            </w:pPr>
            <w:r w:rsidRPr="00277BEC">
              <w:t>Sample</w:t>
            </w:r>
          </w:p>
        </w:tc>
        <w:tc>
          <w:tcPr>
            <w:tcW w:w="0" w:type="auto"/>
          </w:tcPr>
          <w:p w14:paraId="4447803F" w14:textId="77777777" w:rsidR="00026493" w:rsidRPr="00277BEC" w:rsidRDefault="00026493" w:rsidP="00B24797">
            <w:pPr>
              <w:pStyle w:val="Tabletext"/>
              <w:jc w:val="left"/>
              <w:rPr>
                <w:i/>
              </w:rPr>
            </w:pPr>
            <w:r w:rsidRPr="00277BEC">
              <w:rPr>
                <w:i/>
              </w:rPr>
              <w:t>n</w:t>
            </w:r>
          </w:p>
        </w:tc>
        <w:tc>
          <w:tcPr>
            <w:tcW w:w="0" w:type="auto"/>
          </w:tcPr>
          <w:p w14:paraId="060FCB2E" w14:textId="77777777" w:rsidR="00026493" w:rsidRPr="00277BEC" w:rsidRDefault="00026493" w:rsidP="00B24797">
            <w:pPr>
              <w:pStyle w:val="Tabletext"/>
              <w:jc w:val="left"/>
            </w:pPr>
            <w:r w:rsidRPr="00277BEC">
              <w:t>Assessment Tool Data</w:t>
            </w:r>
          </w:p>
        </w:tc>
        <w:tc>
          <w:tcPr>
            <w:tcW w:w="0" w:type="auto"/>
          </w:tcPr>
          <w:p w14:paraId="26F25278" w14:textId="77777777" w:rsidR="00026493" w:rsidRPr="00277BEC" w:rsidRDefault="00026493" w:rsidP="00B24797">
            <w:pPr>
              <w:pStyle w:val="Tabletext"/>
              <w:jc w:val="left"/>
            </w:pPr>
            <w:r w:rsidRPr="00277BEC">
              <w:t>NZQA data</w:t>
            </w:r>
          </w:p>
        </w:tc>
        <w:tc>
          <w:tcPr>
            <w:tcW w:w="0" w:type="auto"/>
          </w:tcPr>
          <w:p w14:paraId="39528642" w14:textId="77777777" w:rsidR="00026493" w:rsidRPr="00277BEC" w:rsidRDefault="00026493" w:rsidP="00B24797">
            <w:pPr>
              <w:pStyle w:val="Tabletext"/>
              <w:jc w:val="left"/>
            </w:pPr>
            <w:r w:rsidRPr="00277BEC">
              <w:t>OTJ data</w:t>
            </w:r>
          </w:p>
        </w:tc>
      </w:tr>
      <w:tr w:rsidR="00026493" w:rsidRPr="00277BEC" w14:paraId="06D78C5A" w14:textId="77777777" w:rsidTr="00B24797">
        <w:trPr>
          <w:tblCellSpacing w:w="20" w:type="dxa"/>
        </w:trPr>
        <w:tc>
          <w:tcPr>
            <w:tcW w:w="0" w:type="auto"/>
            <w:gridSpan w:val="2"/>
            <w:vAlign w:val="center"/>
          </w:tcPr>
          <w:p w14:paraId="39CEB2C4" w14:textId="4405C4D9" w:rsidR="00026493" w:rsidRPr="00277BEC" w:rsidRDefault="000539A9" w:rsidP="004B4F59">
            <w:pPr>
              <w:pStyle w:val="Tabletext"/>
              <w:jc w:val="left"/>
            </w:pPr>
            <w:r w:rsidRPr="00277BEC">
              <w:t>Tertiary cohort</w:t>
            </w:r>
          </w:p>
        </w:tc>
        <w:tc>
          <w:tcPr>
            <w:tcW w:w="0" w:type="auto"/>
            <w:vAlign w:val="center"/>
          </w:tcPr>
          <w:p w14:paraId="49ACCCA3" w14:textId="77777777" w:rsidR="00026493" w:rsidRPr="00277BEC" w:rsidRDefault="00026493" w:rsidP="004B4F59">
            <w:pPr>
              <w:pStyle w:val="Tabletext"/>
              <w:jc w:val="left"/>
              <w:rPr>
                <w:bCs w:val="0"/>
                <w:highlight w:val="yellow"/>
              </w:rPr>
            </w:pPr>
            <w:r w:rsidRPr="00277BEC">
              <w:t>36,270</w:t>
            </w:r>
          </w:p>
        </w:tc>
        <w:tc>
          <w:tcPr>
            <w:tcW w:w="0" w:type="auto"/>
            <w:vAlign w:val="center"/>
          </w:tcPr>
          <w:p w14:paraId="05337557" w14:textId="77777777" w:rsidR="00026493" w:rsidRPr="00277BEC" w:rsidRDefault="00026493" w:rsidP="004B4F59">
            <w:pPr>
              <w:pStyle w:val="Tabletext"/>
              <w:jc w:val="left"/>
              <w:rPr>
                <w:bCs w:val="0"/>
              </w:rPr>
            </w:pPr>
            <w:r w:rsidRPr="00277BEC">
              <w:t>Administrative data sets</w:t>
            </w:r>
          </w:p>
        </w:tc>
        <w:tc>
          <w:tcPr>
            <w:tcW w:w="0" w:type="auto"/>
            <w:vAlign w:val="center"/>
          </w:tcPr>
          <w:p w14:paraId="22294234" w14:textId="77777777" w:rsidR="00026493" w:rsidRPr="00277BEC" w:rsidRDefault="00026493" w:rsidP="004B4F59">
            <w:pPr>
              <w:pStyle w:val="Tabletext"/>
              <w:jc w:val="left"/>
              <w:rPr>
                <w:bCs w:val="0"/>
              </w:rPr>
            </w:pPr>
            <w:r w:rsidRPr="00277BEC">
              <w:t>Administrative data sets</w:t>
            </w:r>
          </w:p>
        </w:tc>
        <w:tc>
          <w:tcPr>
            <w:tcW w:w="0" w:type="auto"/>
            <w:vAlign w:val="center"/>
          </w:tcPr>
          <w:p w14:paraId="23DD9631" w14:textId="77777777" w:rsidR="00026493" w:rsidRPr="00277BEC" w:rsidRDefault="00026493" w:rsidP="00B24797">
            <w:pPr>
              <w:pStyle w:val="Tabletext"/>
            </w:pPr>
            <w:r w:rsidRPr="00277BEC">
              <w:t>-</w:t>
            </w:r>
          </w:p>
        </w:tc>
      </w:tr>
      <w:tr w:rsidR="00026493" w:rsidRPr="00277BEC" w14:paraId="7500EAF2" w14:textId="77777777" w:rsidTr="00B24797">
        <w:trPr>
          <w:tblCellSpacing w:w="20" w:type="dxa"/>
        </w:trPr>
        <w:tc>
          <w:tcPr>
            <w:tcW w:w="0" w:type="auto"/>
            <w:vMerge w:val="restart"/>
            <w:vAlign w:val="center"/>
          </w:tcPr>
          <w:p w14:paraId="1630152A" w14:textId="77777777" w:rsidR="00026493" w:rsidRPr="00277BEC" w:rsidRDefault="00026493" w:rsidP="00B24797">
            <w:pPr>
              <w:pStyle w:val="Tabletext"/>
            </w:pPr>
            <w:r w:rsidRPr="00277BEC">
              <w:t>School sample</w:t>
            </w:r>
          </w:p>
        </w:tc>
        <w:tc>
          <w:tcPr>
            <w:tcW w:w="0" w:type="auto"/>
            <w:vAlign w:val="center"/>
          </w:tcPr>
          <w:p w14:paraId="4DA8B623" w14:textId="77777777" w:rsidR="00026493" w:rsidRPr="00277BEC" w:rsidRDefault="00026493" w:rsidP="004B4F59">
            <w:pPr>
              <w:pStyle w:val="Tabletext"/>
              <w:jc w:val="left"/>
              <w:rPr>
                <w:bCs w:val="0"/>
              </w:rPr>
            </w:pPr>
            <w:r w:rsidRPr="00277BEC">
              <w:t>Year 11 and 12</w:t>
            </w:r>
          </w:p>
        </w:tc>
        <w:tc>
          <w:tcPr>
            <w:tcW w:w="0" w:type="auto"/>
            <w:vAlign w:val="center"/>
          </w:tcPr>
          <w:p w14:paraId="5C603A4D" w14:textId="77777777" w:rsidR="00026493" w:rsidRPr="00277BEC" w:rsidRDefault="00026493" w:rsidP="004B4F59">
            <w:pPr>
              <w:pStyle w:val="Tabletext"/>
              <w:jc w:val="left"/>
              <w:rPr>
                <w:bCs w:val="0"/>
                <w:highlight w:val="yellow"/>
              </w:rPr>
            </w:pPr>
            <w:r w:rsidRPr="00277BEC">
              <w:t>1,568</w:t>
            </w:r>
          </w:p>
        </w:tc>
        <w:tc>
          <w:tcPr>
            <w:tcW w:w="0" w:type="auto"/>
            <w:vAlign w:val="center"/>
          </w:tcPr>
          <w:p w14:paraId="72A970CA" w14:textId="77777777" w:rsidR="00026493" w:rsidRPr="00277BEC" w:rsidRDefault="00026493" w:rsidP="004B4F59">
            <w:pPr>
              <w:pStyle w:val="Tabletext"/>
              <w:jc w:val="left"/>
              <w:rPr>
                <w:bCs w:val="0"/>
              </w:rPr>
            </w:pPr>
            <w:r w:rsidRPr="00277BEC">
              <w:t>School-administered assessments</w:t>
            </w:r>
          </w:p>
        </w:tc>
        <w:tc>
          <w:tcPr>
            <w:tcW w:w="0" w:type="auto"/>
            <w:vAlign w:val="center"/>
          </w:tcPr>
          <w:p w14:paraId="6958E6E6" w14:textId="77777777" w:rsidR="00026493" w:rsidRPr="00277BEC" w:rsidRDefault="00026493" w:rsidP="004B4F59">
            <w:pPr>
              <w:pStyle w:val="Tabletext"/>
              <w:jc w:val="left"/>
              <w:rPr>
                <w:bCs w:val="0"/>
              </w:rPr>
            </w:pPr>
            <w:r w:rsidRPr="00277BEC">
              <w:t>Administrative data sets</w:t>
            </w:r>
          </w:p>
        </w:tc>
        <w:tc>
          <w:tcPr>
            <w:tcW w:w="0" w:type="auto"/>
            <w:vAlign w:val="center"/>
          </w:tcPr>
          <w:p w14:paraId="129EE697" w14:textId="77777777" w:rsidR="00026493" w:rsidRPr="00277BEC" w:rsidRDefault="00026493" w:rsidP="00B24797">
            <w:pPr>
              <w:pStyle w:val="Tabletext"/>
            </w:pPr>
            <w:r w:rsidRPr="00277BEC">
              <w:t>-</w:t>
            </w:r>
          </w:p>
        </w:tc>
      </w:tr>
      <w:tr w:rsidR="00026493" w:rsidRPr="00277BEC" w14:paraId="00CBEA72" w14:textId="77777777" w:rsidTr="00B24797">
        <w:trPr>
          <w:tblCellSpacing w:w="20" w:type="dxa"/>
        </w:trPr>
        <w:tc>
          <w:tcPr>
            <w:tcW w:w="0" w:type="auto"/>
            <w:vMerge/>
            <w:vAlign w:val="center"/>
          </w:tcPr>
          <w:p w14:paraId="3F4239AE" w14:textId="77777777" w:rsidR="00026493" w:rsidRPr="00277BEC" w:rsidRDefault="00026493" w:rsidP="00B24797">
            <w:pPr>
              <w:pStyle w:val="Tabletext"/>
            </w:pPr>
          </w:p>
        </w:tc>
        <w:tc>
          <w:tcPr>
            <w:tcW w:w="0" w:type="auto"/>
            <w:vAlign w:val="center"/>
          </w:tcPr>
          <w:p w14:paraId="6AAB941C" w14:textId="77777777" w:rsidR="00026493" w:rsidRPr="00277BEC" w:rsidRDefault="00026493" w:rsidP="004B4F59">
            <w:pPr>
              <w:pStyle w:val="Tabletext"/>
              <w:jc w:val="left"/>
              <w:rPr>
                <w:bCs w:val="0"/>
              </w:rPr>
            </w:pPr>
            <w:r w:rsidRPr="00277BEC">
              <w:t>Year 8</w:t>
            </w:r>
          </w:p>
        </w:tc>
        <w:tc>
          <w:tcPr>
            <w:tcW w:w="0" w:type="auto"/>
            <w:vAlign w:val="center"/>
          </w:tcPr>
          <w:p w14:paraId="535DF673" w14:textId="77777777" w:rsidR="00026493" w:rsidRPr="00277BEC" w:rsidRDefault="00026493" w:rsidP="004B4F59">
            <w:pPr>
              <w:pStyle w:val="Tabletext"/>
              <w:jc w:val="left"/>
              <w:rPr>
                <w:bCs w:val="0"/>
                <w:highlight w:val="yellow"/>
              </w:rPr>
            </w:pPr>
            <w:r w:rsidRPr="00277BEC">
              <w:t>1,120</w:t>
            </w:r>
          </w:p>
        </w:tc>
        <w:tc>
          <w:tcPr>
            <w:tcW w:w="0" w:type="auto"/>
            <w:vAlign w:val="center"/>
          </w:tcPr>
          <w:p w14:paraId="56C4726B" w14:textId="77777777" w:rsidR="00026493" w:rsidRPr="00277BEC" w:rsidRDefault="00026493" w:rsidP="004B4F59">
            <w:pPr>
              <w:pStyle w:val="Tabletext"/>
              <w:jc w:val="left"/>
              <w:rPr>
                <w:bCs w:val="0"/>
              </w:rPr>
            </w:pPr>
            <w:r w:rsidRPr="00277BEC">
              <w:t>School-administered assessments</w:t>
            </w:r>
          </w:p>
        </w:tc>
        <w:tc>
          <w:tcPr>
            <w:tcW w:w="0" w:type="auto"/>
            <w:vAlign w:val="center"/>
          </w:tcPr>
          <w:p w14:paraId="49664824" w14:textId="77777777" w:rsidR="00026493" w:rsidRPr="00277BEC" w:rsidRDefault="00026493" w:rsidP="004B4F59">
            <w:pPr>
              <w:pStyle w:val="Tabletext"/>
              <w:jc w:val="left"/>
              <w:rPr>
                <w:bCs w:val="0"/>
              </w:rPr>
            </w:pPr>
            <w:r w:rsidRPr="00277BEC">
              <w:t>-</w:t>
            </w:r>
          </w:p>
        </w:tc>
        <w:tc>
          <w:tcPr>
            <w:tcW w:w="0" w:type="auto"/>
            <w:vAlign w:val="center"/>
          </w:tcPr>
          <w:p w14:paraId="73EA5BAD" w14:textId="77777777" w:rsidR="00026493" w:rsidRPr="00277BEC" w:rsidRDefault="00026493" w:rsidP="004B4F59">
            <w:pPr>
              <w:pStyle w:val="Tabletext"/>
              <w:jc w:val="left"/>
              <w:rPr>
                <w:bCs w:val="0"/>
              </w:rPr>
            </w:pPr>
            <w:r w:rsidRPr="00277BEC">
              <w:t>Provided by participating schools</w:t>
            </w:r>
          </w:p>
        </w:tc>
      </w:tr>
    </w:tbl>
    <w:p w14:paraId="793FB6BE" w14:textId="77777777" w:rsidR="00026493" w:rsidRPr="00277BEC" w:rsidRDefault="00026493" w:rsidP="00757F18">
      <w:pPr>
        <w:pStyle w:val="BodyText"/>
        <w:rPr>
          <w:rFonts w:ascii="Arial" w:hAnsi="Arial" w:cs="Arial"/>
        </w:rPr>
      </w:pPr>
    </w:p>
    <w:p w14:paraId="22018595" w14:textId="7E4EF623" w:rsidR="009A337B" w:rsidRPr="00277BEC" w:rsidRDefault="009A337B" w:rsidP="000539C6">
      <w:pPr>
        <w:pStyle w:val="BodyText"/>
        <w:jc w:val="left"/>
        <w:rPr>
          <w:rFonts w:ascii="Arial" w:hAnsi="Arial" w:cs="Arial"/>
        </w:rPr>
      </w:pPr>
      <w:r w:rsidRPr="00277BEC">
        <w:rPr>
          <w:rFonts w:ascii="Arial" w:hAnsi="Arial" w:cs="Arial"/>
        </w:rPr>
        <w:t>T</w:t>
      </w:r>
      <w:r w:rsidR="00026493" w:rsidRPr="00277BEC">
        <w:rPr>
          <w:rFonts w:ascii="Arial" w:hAnsi="Arial" w:cs="Arial"/>
        </w:rPr>
        <w:t>able</w:t>
      </w:r>
      <w:r w:rsidR="00616028" w:rsidRPr="00277BEC">
        <w:rPr>
          <w:rFonts w:ascii="Arial" w:hAnsi="Arial" w:cs="Arial"/>
        </w:rPr>
        <w:t>s</w:t>
      </w:r>
      <w:r w:rsidRPr="00277BEC">
        <w:rPr>
          <w:rFonts w:ascii="Arial" w:hAnsi="Arial" w:cs="Arial"/>
        </w:rPr>
        <w:t xml:space="preserve"> </w:t>
      </w:r>
      <w:r w:rsidR="00026493" w:rsidRPr="00277BEC">
        <w:rPr>
          <w:rFonts w:ascii="Arial" w:hAnsi="Arial" w:cs="Arial"/>
        </w:rPr>
        <w:t>3</w:t>
      </w:r>
      <w:r w:rsidRPr="00277BEC">
        <w:rPr>
          <w:rFonts w:ascii="Arial" w:hAnsi="Arial" w:cs="Arial"/>
        </w:rPr>
        <w:t xml:space="preserve"> and </w:t>
      </w:r>
      <w:r w:rsidR="00026493" w:rsidRPr="00277BEC">
        <w:rPr>
          <w:rFonts w:ascii="Arial" w:hAnsi="Arial" w:cs="Arial"/>
        </w:rPr>
        <w:t>4</w:t>
      </w:r>
      <w:r w:rsidRPr="00277BEC">
        <w:rPr>
          <w:rFonts w:ascii="Arial" w:hAnsi="Arial" w:cs="Arial"/>
        </w:rPr>
        <w:t xml:space="preserve"> compare the demographic characteristics of the school sample with the national profile for</w:t>
      </w:r>
      <w:r w:rsidR="00D257C0" w:rsidRPr="00277BEC">
        <w:rPr>
          <w:rFonts w:ascii="Arial" w:hAnsi="Arial" w:cs="Arial"/>
        </w:rPr>
        <w:t xml:space="preserve"> primary</w:t>
      </w:r>
      <w:r w:rsidRPr="00277BEC">
        <w:rPr>
          <w:rFonts w:ascii="Arial" w:hAnsi="Arial" w:cs="Arial"/>
        </w:rPr>
        <w:t xml:space="preserve"> </w:t>
      </w:r>
      <w:r w:rsidR="00026493" w:rsidRPr="00277BEC">
        <w:rPr>
          <w:rFonts w:ascii="Arial" w:hAnsi="Arial" w:cs="Arial"/>
        </w:rPr>
        <w:t xml:space="preserve">and </w:t>
      </w:r>
      <w:r w:rsidRPr="00277BEC">
        <w:rPr>
          <w:rFonts w:ascii="Arial" w:hAnsi="Arial" w:cs="Arial"/>
        </w:rPr>
        <w:t>secondary school students, based on an analysis of July 1 roll data from the Education Counts website</w:t>
      </w:r>
      <w:r w:rsidR="00C7352D" w:rsidRPr="00277BEC">
        <w:rPr>
          <w:rFonts w:ascii="Arial" w:hAnsi="Arial" w:cs="Arial"/>
        </w:rPr>
        <w:t xml:space="preserve"> (Ministry of Education, 2014a</w:t>
      </w:r>
      <w:r w:rsidR="00811881" w:rsidRPr="00277BEC">
        <w:rPr>
          <w:rFonts w:ascii="Arial" w:hAnsi="Arial" w:cs="Arial"/>
        </w:rPr>
        <w:t>).</w:t>
      </w:r>
      <w:r w:rsidR="00026493" w:rsidRPr="00277BEC">
        <w:rPr>
          <w:rFonts w:ascii="Arial" w:hAnsi="Arial" w:cs="Arial"/>
        </w:rPr>
        <w:t xml:space="preserve"> Table 3 provides demographic information for students with Assessment Tool results in reading</w:t>
      </w:r>
      <w:r w:rsidR="00616028" w:rsidRPr="00277BEC">
        <w:rPr>
          <w:rFonts w:ascii="Arial" w:hAnsi="Arial" w:cs="Arial"/>
        </w:rPr>
        <w:t>,</w:t>
      </w:r>
      <w:r w:rsidR="00026493" w:rsidRPr="00277BEC">
        <w:rPr>
          <w:rFonts w:ascii="Arial" w:hAnsi="Arial" w:cs="Arial"/>
        </w:rPr>
        <w:t xml:space="preserve"> and Table 4 provides this information for students with results in numeracy. Students were asked to complete both reading and numeracy assessments but a small number completed just one assessment.</w:t>
      </w:r>
    </w:p>
    <w:p w14:paraId="2F6E76E1" w14:textId="5C3A3BE4" w:rsidR="009A337B" w:rsidRPr="00277BEC" w:rsidRDefault="009A337B" w:rsidP="000539C6">
      <w:pPr>
        <w:pStyle w:val="BodyText"/>
        <w:jc w:val="left"/>
        <w:rPr>
          <w:rFonts w:ascii="Arial" w:hAnsi="Arial" w:cs="Arial"/>
        </w:rPr>
      </w:pPr>
      <w:r w:rsidRPr="00277BEC">
        <w:rPr>
          <w:rFonts w:ascii="Arial" w:hAnsi="Arial" w:cs="Arial"/>
        </w:rPr>
        <w:t xml:space="preserve">In both of Tables </w:t>
      </w:r>
      <w:r w:rsidR="00026493" w:rsidRPr="00277BEC">
        <w:rPr>
          <w:rFonts w:ascii="Arial" w:hAnsi="Arial" w:cs="Arial"/>
        </w:rPr>
        <w:t>3</w:t>
      </w:r>
      <w:r w:rsidR="00460603" w:rsidRPr="00277BEC">
        <w:rPr>
          <w:rFonts w:ascii="Arial" w:hAnsi="Arial" w:cs="Arial"/>
        </w:rPr>
        <w:t xml:space="preserve"> </w:t>
      </w:r>
      <w:r w:rsidRPr="00277BEC">
        <w:rPr>
          <w:rFonts w:ascii="Arial" w:hAnsi="Arial" w:cs="Arial"/>
        </w:rPr>
        <w:t xml:space="preserve">and </w:t>
      </w:r>
      <w:r w:rsidR="00026493" w:rsidRPr="00277BEC">
        <w:rPr>
          <w:rFonts w:ascii="Arial" w:hAnsi="Arial" w:cs="Arial"/>
        </w:rPr>
        <w:t>4</w:t>
      </w:r>
      <w:r w:rsidR="00460603" w:rsidRPr="00277BEC">
        <w:rPr>
          <w:rFonts w:ascii="Arial" w:hAnsi="Arial" w:cs="Arial"/>
        </w:rPr>
        <w:t xml:space="preserve"> </w:t>
      </w:r>
      <w:r w:rsidRPr="00277BEC">
        <w:rPr>
          <w:rFonts w:ascii="Arial" w:hAnsi="Arial" w:cs="Arial"/>
        </w:rPr>
        <w:t xml:space="preserve">the decile distribution of </w:t>
      </w:r>
      <w:r w:rsidR="000539C6">
        <w:rPr>
          <w:rFonts w:ascii="Arial" w:hAnsi="Arial" w:cs="Arial"/>
        </w:rPr>
        <w:t>Y</w:t>
      </w:r>
      <w:r w:rsidR="000F11C5" w:rsidRPr="00277BEC">
        <w:rPr>
          <w:rFonts w:ascii="Arial" w:hAnsi="Arial" w:cs="Arial"/>
        </w:rPr>
        <w:t>ear</w:t>
      </w:r>
      <w:r w:rsidRPr="00277BEC">
        <w:rPr>
          <w:rFonts w:ascii="Arial" w:hAnsi="Arial" w:cs="Arial"/>
        </w:rPr>
        <w:t xml:space="preserve"> 8 students in the sample is different than the national profile, with high</w:t>
      </w:r>
      <w:r w:rsidR="001B5D2D" w:rsidRPr="00277BEC">
        <w:rPr>
          <w:rFonts w:ascii="Arial" w:hAnsi="Arial" w:cs="Arial"/>
        </w:rPr>
        <w:t>-decile</w:t>
      </w:r>
      <w:r w:rsidR="00AE4EB9" w:rsidRPr="00277BEC">
        <w:rPr>
          <w:rFonts w:ascii="Arial" w:hAnsi="Arial" w:cs="Arial"/>
        </w:rPr>
        <w:t xml:space="preserve"> schools over-represented, medium</w:t>
      </w:r>
      <w:r w:rsidR="001B5D2D" w:rsidRPr="00277BEC">
        <w:rPr>
          <w:rFonts w:ascii="Arial" w:hAnsi="Arial" w:cs="Arial"/>
        </w:rPr>
        <w:t>-decile</w:t>
      </w:r>
      <w:r w:rsidRPr="00277BEC">
        <w:rPr>
          <w:rFonts w:ascii="Arial" w:hAnsi="Arial" w:cs="Arial"/>
        </w:rPr>
        <w:t xml:space="preserve"> schools substantially under-represented, and low</w:t>
      </w:r>
      <w:r w:rsidR="001B5D2D" w:rsidRPr="00277BEC">
        <w:rPr>
          <w:rFonts w:ascii="Arial" w:hAnsi="Arial" w:cs="Arial"/>
        </w:rPr>
        <w:t>-decile</w:t>
      </w:r>
      <w:r w:rsidRPr="00277BEC">
        <w:rPr>
          <w:rFonts w:ascii="Arial" w:hAnsi="Arial" w:cs="Arial"/>
        </w:rPr>
        <w:t xml:space="preserve"> schools almost unrepresented. The secondary sample </w:t>
      </w:r>
      <w:r w:rsidR="00AE4EB9" w:rsidRPr="00277BEC">
        <w:rPr>
          <w:rFonts w:ascii="Arial" w:hAnsi="Arial" w:cs="Arial"/>
        </w:rPr>
        <w:t>is better aligned</w:t>
      </w:r>
      <w:r w:rsidRPr="00277BEC">
        <w:rPr>
          <w:rFonts w:ascii="Arial" w:hAnsi="Arial" w:cs="Arial"/>
        </w:rPr>
        <w:t xml:space="preserve"> with the national decile profile, although high</w:t>
      </w:r>
      <w:r w:rsidR="001B5D2D" w:rsidRPr="00277BEC">
        <w:rPr>
          <w:rFonts w:ascii="Arial" w:hAnsi="Arial" w:cs="Arial"/>
        </w:rPr>
        <w:t>-decile</w:t>
      </w:r>
      <w:r w:rsidRPr="00277BEC">
        <w:rPr>
          <w:rFonts w:ascii="Arial" w:hAnsi="Arial" w:cs="Arial"/>
        </w:rPr>
        <w:t xml:space="preserve"> schools are over-represented by 15.2 percentage points in Table </w:t>
      </w:r>
      <w:r w:rsidR="00026493" w:rsidRPr="00277BEC">
        <w:rPr>
          <w:rFonts w:ascii="Arial" w:hAnsi="Arial" w:cs="Arial"/>
        </w:rPr>
        <w:t>3</w:t>
      </w:r>
      <w:r w:rsidR="00460603" w:rsidRPr="00277BEC">
        <w:rPr>
          <w:rFonts w:ascii="Arial" w:hAnsi="Arial" w:cs="Arial"/>
        </w:rPr>
        <w:t xml:space="preserve"> </w:t>
      </w:r>
      <w:r w:rsidRPr="00277BEC">
        <w:rPr>
          <w:rFonts w:ascii="Arial" w:hAnsi="Arial" w:cs="Arial"/>
        </w:rPr>
        <w:t xml:space="preserve">and by 10.7 percentage points in Table </w:t>
      </w:r>
      <w:r w:rsidR="00026493" w:rsidRPr="00277BEC">
        <w:rPr>
          <w:rFonts w:ascii="Arial" w:hAnsi="Arial" w:cs="Arial"/>
        </w:rPr>
        <w:t>4</w:t>
      </w:r>
      <w:r w:rsidRPr="00277BEC">
        <w:rPr>
          <w:rFonts w:ascii="Arial" w:hAnsi="Arial" w:cs="Arial"/>
        </w:rPr>
        <w:t>. Low</w:t>
      </w:r>
      <w:r w:rsidR="001B5D2D" w:rsidRPr="00277BEC">
        <w:rPr>
          <w:rFonts w:ascii="Arial" w:hAnsi="Arial" w:cs="Arial"/>
        </w:rPr>
        <w:t>-decile</w:t>
      </w:r>
      <w:r w:rsidRPr="00277BEC">
        <w:rPr>
          <w:rFonts w:ascii="Arial" w:hAnsi="Arial" w:cs="Arial"/>
        </w:rPr>
        <w:t xml:space="preserve"> schools are also over-represented to a lesser extent, by 10.1 and 7.3 percentage points in Tables </w:t>
      </w:r>
      <w:r w:rsidR="00026493" w:rsidRPr="00277BEC">
        <w:rPr>
          <w:rFonts w:ascii="Arial" w:hAnsi="Arial" w:cs="Arial"/>
        </w:rPr>
        <w:t>3</w:t>
      </w:r>
      <w:r w:rsidR="00460603" w:rsidRPr="00277BEC">
        <w:rPr>
          <w:rFonts w:ascii="Arial" w:hAnsi="Arial" w:cs="Arial"/>
        </w:rPr>
        <w:t xml:space="preserve"> </w:t>
      </w:r>
      <w:r w:rsidRPr="00277BEC">
        <w:rPr>
          <w:rFonts w:ascii="Arial" w:hAnsi="Arial" w:cs="Arial"/>
        </w:rPr>
        <w:t xml:space="preserve">and </w:t>
      </w:r>
      <w:r w:rsidR="00026493" w:rsidRPr="00277BEC">
        <w:rPr>
          <w:rFonts w:ascii="Arial" w:hAnsi="Arial" w:cs="Arial"/>
        </w:rPr>
        <w:t>4</w:t>
      </w:r>
      <w:r w:rsidR="00460603" w:rsidRPr="00277BEC">
        <w:rPr>
          <w:rFonts w:ascii="Arial" w:hAnsi="Arial" w:cs="Arial"/>
        </w:rPr>
        <w:t xml:space="preserve"> </w:t>
      </w:r>
      <w:r w:rsidRPr="00277BEC">
        <w:rPr>
          <w:rFonts w:ascii="Arial" w:hAnsi="Arial" w:cs="Arial"/>
        </w:rPr>
        <w:t xml:space="preserve">respectively. Female students are slightly over-represented in both the </w:t>
      </w:r>
      <w:r w:rsidR="000539C6">
        <w:rPr>
          <w:rFonts w:ascii="Arial" w:hAnsi="Arial" w:cs="Arial"/>
        </w:rPr>
        <w:t>Y</w:t>
      </w:r>
      <w:r w:rsidR="000F11C5" w:rsidRPr="00277BEC">
        <w:rPr>
          <w:rFonts w:ascii="Arial" w:hAnsi="Arial" w:cs="Arial"/>
        </w:rPr>
        <w:t>ear</w:t>
      </w:r>
      <w:r w:rsidR="001B5D2D" w:rsidRPr="00277BEC">
        <w:rPr>
          <w:rFonts w:ascii="Arial" w:hAnsi="Arial" w:cs="Arial"/>
        </w:rPr>
        <w:t xml:space="preserve"> 8 and secondary samples, more </w:t>
      </w:r>
      <w:r w:rsidRPr="00277BEC">
        <w:rPr>
          <w:rFonts w:ascii="Arial" w:hAnsi="Arial" w:cs="Arial"/>
        </w:rPr>
        <w:t xml:space="preserve">so in the former than in the latter. The ethnic profile of the </w:t>
      </w:r>
      <w:r w:rsidR="000539C6">
        <w:rPr>
          <w:rFonts w:ascii="Arial" w:hAnsi="Arial" w:cs="Arial"/>
        </w:rPr>
        <w:t>Y</w:t>
      </w:r>
      <w:r w:rsidR="000F11C5" w:rsidRPr="00277BEC">
        <w:rPr>
          <w:rFonts w:ascii="Arial" w:hAnsi="Arial" w:cs="Arial"/>
        </w:rPr>
        <w:t>ear</w:t>
      </w:r>
      <w:r w:rsidRPr="00277BEC">
        <w:rPr>
          <w:rFonts w:ascii="Arial" w:hAnsi="Arial" w:cs="Arial"/>
        </w:rPr>
        <w:t xml:space="preserve"> 8 sample over-represents NZ European students, with commensurate under-representation of Māori and Pasifika</w:t>
      </w:r>
      <w:r w:rsidR="00460603" w:rsidRPr="00277BEC">
        <w:rPr>
          <w:rFonts w:ascii="Arial" w:hAnsi="Arial" w:cs="Arial"/>
        </w:rPr>
        <w:t>.</w:t>
      </w:r>
      <w:r w:rsidRPr="00277BEC">
        <w:rPr>
          <w:rFonts w:ascii="Arial" w:hAnsi="Arial" w:cs="Arial"/>
        </w:rPr>
        <w:t xml:space="preserve"> The secondary sample</w:t>
      </w:r>
      <w:r w:rsidR="001B5D2D" w:rsidRPr="00277BEC">
        <w:rPr>
          <w:rFonts w:ascii="Arial" w:hAnsi="Arial" w:cs="Arial"/>
        </w:rPr>
        <w:t>,</w:t>
      </w:r>
      <w:r w:rsidRPr="00277BEC">
        <w:rPr>
          <w:rFonts w:ascii="Arial" w:hAnsi="Arial" w:cs="Arial"/>
        </w:rPr>
        <w:t xml:space="preserve"> however, reflects the national secondary-school ethnicity profile quite closely, although Pasifika students </w:t>
      </w:r>
      <w:r w:rsidRPr="00277BEC">
        <w:rPr>
          <w:rFonts w:ascii="Arial" w:hAnsi="Arial" w:cs="Arial"/>
        </w:rPr>
        <w:lastRenderedPageBreak/>
        <w:t>are somewhat over-represented and Māori students commensurately under-represented</w:t>
      </w:r>
      <w:r w:rsidR="007A2F7D" w:rsidRPr="00277BEC">
        <w:rPr>
          <w:rFonts w:ascii="Arial" w:hAnsi="Arial" w:cs="Arial"/>
        </w:rPr>
        <w:t xml:space="preserve">. </w:t>
      </w:r>
    </w:p>
    <w:p w14:paraId="3BD34FBC" w14:textId="6B767FF3" w:rsidR="00953A79" w:rsidRPr="00277BEC" w:rsidRDefault="009A337B" w:rsidP="000539C6">
      <w:pPr>
        <w:pStyle w:val="BodyText"/>
        <w:jc w:val="left"/>
        <w:rPr>
          <w:rFonts w:ascii="Arial" w:hAnsi="Arial" w:cs="Arial"/>
        </w:rPr>
      </w:pPr>
      <w:r w:rsidRPr="00277BEC">
        <w:rPr>
          <w:rFonts w:ascii="Arial" w:hAnsi="Arial" w:cs="Arial"/>
        </w:rPr>
        <w:t>The modest over-representation of female students and the greater over-representation of students at high</w:t>
      </w:r>
      <w:r w:rsidR="001B5D2D" w:rsidRPr="00277BEC">
        <w:rPr>
          <w:rFonts w:ascii="Arial" w:hAnsi="Arial" w:cs="Arial"/>
        </w:rPr>
        <w:t>-decile</w:t>
      </w:r>
      <w:r w:rsidRPr="00277BEC">
        <w:rPr>
          <w:rFonts w:ascii="Arial" w:hAnsi="Arial" w:cs="Arial"/>
        </w:rPr>
        <w:t xml:space="preserve"> schools than those at low</w:t>
      </w:r>
      <w:r w:rsidR="001B5D2D" w:rsidRPr="00277BEC">
        <w:rPr>
          <w:rFonts w:ascii="Arial" w:hAnsi="Arial" w:cs="Arial"/>
        </w:rPr>
        <w:t>-decile</w:t>
      </w:r>
      <w:r w:rsidRPr="00277BEC">
        <w:rPr>
          <w:rFonts w:ascii="Arial" w:hAnsi="Arial" w:cs="Arial"/>
        </w:rPr>
        <w:t xml:space="preserve"> schools is likely to result in a</w:t>
      </w:r>
      <w:r w:rsidR="00460603" w:rsidRPr="00277BEC">
        <w:rPr>
          <w:rFonts w:ascii="Arial" w:hAnsi="Arial" w:cs="Arial"/>
        </w:rPr>
        <w:t>n associated</w:t>
      </w:r>
      <w:r w:rsidRPr="00277BEC">
        <w:rPr>
          <w:rFonts w:ascii="Arial" w:hAnsi="Arial" w:cs="Arial"/>
        </w:rPr>
        <w:t xml:space="preserve"> over-estimation of both reading and numeracy skill, because a wealth of data show that </w:t>
      </w:r>
      <w:r w:rsidR="002671E7" w:rsidRPr="00277BEC">
        <w:rPr>
          <w:rFonts w:ascii="Arial" w:hAnsi="Arial" w:cs="Arial"/>
        </w:rPr>
        <w:t>on average</w:t>
      </w:r>
      <w:r w:rsidR="000539C6">
        <w:rPr>
          <w:rFonts w:ascii="Arial" w:hAnsi="Arial" w:cs="Arial"/>
        </w:rPr>
        <w:t>,</w:t>
      </w:r>
      <w:r w:rsidR="002671E7" w:rsidRPr="00277BEC">
        <w:rPr>
          <w:rFonts w:ascii="Arial" w:hAnsi="Arial" w:cs="Arial"/>
        </w:rPr>
        <w:t xml:space="preserve"> </w:t>
      </w:r>
      <w:r w:rsidRPr="00277BEC">
        <w:rPr>
          <w:rFonts w:ascii="Arial" w:hAnsi="Arial" w:cs="Arial"/>
        </w:rPr>
        <w:t>female students out</w:t>
      </w:r>
      <w:r w:rsidR="000539C6">
        <w:rPr>
          <w:rFonts w:ascii="Arial" w:hAnsi="Arial" w:cs="Arial"/>
        </w:rPr>
        <w:t>-</w:t>
      </w:r>
      <w:r w:rsidRPr="00277BEC">
        <w:rPr>
          <w:rFonts w:ascii="Arial" w:hAnsi="Arial" w:cs="Arial"/>
        </w:rPr>
        <w:t xml:space="preserve">perform male students in literacy measures and that </w:t>
      </w:r>
      <w:r w:rsidR="002671E7" w:rsidRPr="00277BEC">
        <w:rPr>
          <w:rFonts w:ascii="Arial" w:hAnsi="Arial" w:cs="Arial"/>
        </w:rPr>
        <w:t>on average</w:t>
      </w:r>
      <w:r w:rsidR="000539C6">
        <w:rPr>
          <w:rFonts w:ascii="Arial" w:hAnsi="Arial" w:cs="Arial"/>
        </w:rPr>
        <w:t>,</w:t>
      </w:r>
      <w:r w:rsidR="002671E7" w:rsidRPr="00277BEC">
        <w:rPr>
          <w:rFonts w:ascii="Arial" w:hAnsi="Arial" w:cs="Arial"/>
        </w:rPr>
        <w:t xml:space="preserve"> </w:t>
      </w:r>
      <w:r w:rsidRPr="00277BEC">
        <w:rPr>
          <w:rFonts w:ascii="Arial" w:hAnsi="Arial" w:cs="Arial"/>
        </w:rPr>
        <w:t>students at high</w:t>
      </w:r>
      <w:r w:rsidR="001B5D2D" w:rsidRPr="00277BEC">
        <w:rPr>
          <w:rFonts w:ascii="Arial" w:hAnsi="Arial" w:cs="Arial"/>
        </w:rPr>
        <w:t>-decile</w:t>
      </w:r>
      <w:r w:rsidRPr="00277BEC">
        <w:rPr>
          <w:rFonts w:ascii="Arial" w:hAnsi="Arial" w:cs="Arial"/>
        </w:rPr>
        <w:t xml:space="preserve"> schools </w:t>
      </w:r>
      <w:r w:rsidR="001B5D2D" w:rsidRPr="00277BEC">
        <w:rPr>
          <w:rFonts w:ascii="Arial" w:hAnsi="Arial" w:cs="Arial"/>
        </w:rPr>
        <w:t>out</w:t>
      </w:r>
      <w:r w:rsidR="000539C6">
        <w:rPr>
          <w:rFonts w:ascii="Arial" w:hAnsi="Arial" w:cs="Arial"/>
        </w:rPr>
        <w:t>-</w:t>
      </w:r>
      <w:r w:rsidR="001B5D2D" w:rsidRPr="00277BEC">
        <w:rPr>
          <w:rFonts w:ascii="Arial" w:hAnsi="Arial" w:cs="Arial"/>
        </w:rPr>
        <w:t>perform students at low-d</w:t>
      </w:r>
      <w:r w:rsidR="00AE4EB9" w:rsidRPr="00277BEC">
        <w:rPr>
          <w:rFonts w:ascii="Arial" w:hAnsi="Arial" w:cs="Arial"/>
        </w:rPr>
        <w:t>ecile</w:t>
      </w:r>
      <w:r w:rsidRPr="00277BEC">
        <w:rPr>
          <w:rFonts w:ascii="Arial" w:hAnsi="Arial" w:cs="Arial"/>
        </w:rPr>
        <w:t xml:space="preserve"> schools in both reading and numeracy measures. Therefore, estimates of the levels of literacy and numeracy of students in these samples are likely to represent a best-case scenario; that is, they are likely to be slightly above the actual population levels.</w:t>
      </w:r>
    </w:p>
    <w:p w14:paraId="34A6A967" w14:textId="4118923D" w:rsidR="009A337B" w:rsidRPr="00277BEC" w:rsidRDefault="00460603" w:rsidP="000539C6">
      <w:pPr>
        <w:pStyle w:val="Caption"/>
        <w:jc w:val="left"/>
        <w:rPr>
          <w:rFonts w:cs="Arial"/>
        </w:rPr>
      </w:pPr>
      <w:bookmarkStart w:id="34" w:name="_Toc270604922"/>
      <w:r w:rsidRPr="00277BEC">
        <w:rPr>
          <w:rFonts w:cs="Arial"/>
          <w:b/>
        </w:rPr>
        <w:t xml:space="preserve">Table </w:t>
      </w:r>
      <w:r w:rsidR="00D71DDD" w:rsidRPr="00277BEC">
        <w:rPr>
          <w:rFonts w:cs="Arial"/>
          <w:b/>
        </w:rPr>
        <w:fldChar w:fldCharType="begin"/>
      </w:r>
      <w:r w:rsidRPr="00277BEC">
        <w:rPr>
          <w:rFonts w:cs="Arial"/>
          <w:b/>
        </w:rPr>
        <w:instrText xml:space="preserve"> SEQ Table \* ARABIC </w:instrText>
      </w:r>
      <w:r w:rsidR="00D71DDD" w:rsidRPr="00277BEC">
        <w:rPr>
          <w:rFonts w:cs="Arial"/>
          <w:b/>
        </w:rPr>
        <w:fldChar w:fldCharType="separate"/>
      </w:r>
      <w:r w:rsidR="00277BEC" w:rsidRPr="00277BEC">
        <w:rPr>
          <w:rFonts w:cs="Arial"/>
          <w:b/>
          <w:noProof/>
        </w:rPr>
        <w:t>3</w:t>
      </w:r>
      <w:r w:rsidR="00D71DDD" w:rsidRPr="00277BEC">
        <w:rPr>
          <w:rFonts w:cs="Arial"/>
          <w:b/>
        </w:rPr>
        <w:fldChar w:fldCharType="end"/>
      </w:r>
      <w:r w:rsidRPr="00277BEC">
        <w:rPr>
          <w:rFonts w:cs="Arial"/>
        </w:rPr>
        <w:t xml:space="preserve"> Comparison of the subset of the school sample with </w:t>
      </w:r>
      <w:r w:rsidR="002671E7" w:rsidRPr="00277BEC">
        <w:rPr>
          <w:rFonts w:cs="Arial"/>
        </w:rPr>
        <w:t>Assessment Tool</w:t>
      </w:r>
      <w:r w:rsidRPr="00277BEC">
        <w:rPr>
          <w:rFonts w:cs="Arial"/>
        </w:rPr>
        <w:t xml:space="preserve"> results</w:t>
      </w:r>
      <w:r w:rsidR="002671E7" w:rsidRPr="00277BEC">
        <w:rPr>
          <w:rFonts w:cs="Arial"/>
        </w:rPr>
        <w:t xml:space="preserve"> in </w:t>
      </w:r>
      <w:r w:rsidR="00026493" w:rsidRPr="00277BEC">
        <w:rPr>
          <w:rFonts w:cs="Arial"/>
        </w:rPr>
        <w:t>reading</w:t>
      </w:r>
      <w:r w:rsidRPr="00277BEC">
        <w:rPr>
          <w:rFonts w:cs="Arial"/>
        </w:rPr>
        <w:t>, with national demographic data showing percentages of students in each decile, gender and ethnic category</w:t>
      </w:r>
      <w:r w:rsidR="002671E7" w:rsidRPr="00277BEC">
        <w:rPr>
          <w:rFonts w:cs="Arial"/>
        </w:rPr>
        <w:t>.</w:t>
      </w:r>
      <w:bookmarkEnd w:id="34"/>
    </w:p>
    <w:tbl>
      <w:tblPr>
        <w:tblW w:w="8505"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377"/>
        <w:gridCol w:w="1935"/>
        <w:gridCol w:w="1935"/>
        <w:gridCol w:w="1563"/>
        <w:gridCol w:w="1695"/>
      </w:tblGrid>
      <w:tr w:rsidR="009A337B" w:rsidRPr="00277BEC" w14:paraId="65FD3C6E" w14:textId="77777777" w:rsidTr="0081759A">
        <w:trPr>
          <w:trHeight w:val="900"/>
          <w:tblCellSpacing w:w="20" w:type="dxa"/>
        </w:trPr>
        <w:tc>
          <w:tcPr>
            <w:tcW w:w="0" w:type="auto"/>
            <w:shd w:val="clear" w:color="auto" w:fill="auto"/>
            <w:noWrap/>
            <w:vAlign w:val="bottom"/>
            <w:hideMark/>
          </w:tcPr>
          <w:p w14:paraId="78BDA08B" w14:textId="77777777" w:rsidR="009A337B" w:rsidRPr="00277BEC" w:rsidRDefault="009A337B" w:rsidP="00953A79">
            <w:pPr>
              <w:pStyle w:val="Tabletext"/>
              <w:rPr>
                <w:lang w:eastAsia="en-NZ"/>
              </w:rPr>
            </w:pPr>
            <w:r w:rsidRPr="00277BEC">
              <w:rPr>
                <w:lang w:eastAsia="en-NZ"/>
              </w:rPr>
              <w:t> </w:t>
            </w:r>
          </w:p>
        </w:tc>
        <w:tc>
          <w:tcPr>
            <w:tcW w:w="0" w:type="auto"/>
            <w:shd w:val="clear" w:color="auto" w:fill="auto"/>
            <w:vAlign w:val="bottom"/>
            <w:hideMark/>
          </w:tcPr>
          <w:p w14:paraId="1DC4E351" w14:textId="77777777" w:rsidR="009A337B" w:rsidRPr="00277BEC" w:rsidRDefault="009A337B" w:rsidP="00953A79">
            <w:pPr>
              <w:pStyle w:val="Tabletext"/>
              <w:rPr>
                <w:lang w:eastAsia="en-NZ"/>
              </w:rPr>
            </w:pPr>
            <w:r w:rsidRPr="00277BEC">
              <w:rPr>
                <w:lang w:eastAsia="en-NZ"/>
              </w:rPr>
              <w:t xml:space="preserve"> Sample (Secondary)</w:t>
            </w:r>
          </w:p>
        </w:tc>
        <w:tc>
          <w:tcPr>
            <w:tcW w:w="0" w:type="auto"/>
            <w:shd w:val="clear" w:color="auto" w:fill="auto"/>
            <w:vAlign w:val="bottom"/>
            <w:hideMark/>
          </w:tcPr>
          <w:p w14:paraId="255166C8" w14:textId="77777777" w:rsidR="009A337B" w:rsidRPr="00277BEC" w:rsidRDefault="009A337B" w:rsidP="00953A79">
            <w:pPr>
              <w:pStyle w:val="Tabletext"/>
              <w:rPr>
                <w:lang w:eastAsia="en-NZ"/>
              </w:rPr>
            </w:pPr>
            <w:r w:rsidRPr="00277BEC">
              <w:rPr>
                <w:lang w:eastAsia="en-NZ"/>
              </w:rPr>
              <w:t>National (Secondary)</w:t>
            </w:r>
          </w:p>
        </w:tc>
        <w:tc>
          <w:tcPr>
            <w:tcW w:w="0" w:type="auto"/>
            <w:shd w:val="clear" w:color="auto" w:fill="auto"/>
            <w:vAlign w:val="bottom"/>
            <w:hideMark/>
          </w:tcPr>
          <w:p w14:paraId="3EE0BDA7" w14:textId="77777777" w:rsidR="009A337B" w:rsidRPr="00277BEC" w:rsidRDefault="009A337B" w:rsidP="00DA1CC6">
            <w:pPr>
              <w:pStyle w:val="Tabletext"/>
              <w:jc w:val="left"/>
              <w:rPr>
                <w:lang w:eastAsia="en-NZ"/>
              </w:rPr>
            </w:pPr>
            <w:r w:rsidRPr="00277BEC">
              <w:rPr>
                <w:lang w:eastAsia="en-NZ"/>
              </w:rPr>
              <w:t>Year 8 (Sample)</w:t>
            </w:r>
          </w:p>
        </w:tc>
        <w:tc>
          <w:tcPr>
            <w:tcW w:w="0" w:type="auto"/>
            <w:shd w:val="clear" w:color="auto" w:fill="auto"/>
            <w:vAlign w:val="bottom"/>
            <w:hideMark/>
          </w:tcPr>
          <w:p w14:paraId="4ED895F2" w14:textId="77777777" w:rsidR="009A337B" w:rsidRPr="00277BEC" w:rsidRDefault="009A337B" w:rsidP="00953A79">
            <w:pPr>
              <w:pStyle w:val="Tabletext"/>
              <w:rPr>
                <w:lang w:eastAsia="en-NZ"/>
              </w:rPr>
            </w:pPr>
            <w:r w:rsidRPr="00277BEC">
              <w:rPr>
                <w:lang w:eastAsia="en-NZ"/>
              </w:rPr>
              <w:t>National (primary)</w:t>
            </w:r>
          </w:p>
        </w:tc>
      </w:tr>
      <w:tr w:rsidR="00897E4D" w:rsidRPr="00277BEC" w14:paraId="10ADF1A0" w14:textId="77777777" w:rsidTr="006E19C5">
        <w:trPr>
          <w:trHeight w:val="300"/>
          <w:tblCellSpacing w:w="20" w:type="dxa"/>
        </w:trPr>
        <w:tc>
          <w:tcPr>
            <w:tcW w:w="0" w:type="auto"/>
            <w:tcBorders>
              <w:bottom w:val="nil"/>
            </w:tcBorders>
            <w:shd w:val="clear" w:color="auto" w:fill="auto"/>
            <w:noWrap/>
            <w:vAlign w:val="bottom"/>
            <w:hideMark/>
          </w:tcPr>
          <w:p w14:paraId="1D777CCD" w14:textId="293702CF" w:rsidR="00897E4D" w:rsidRPr="00277BEC" w:rsidRDefault="00897E4D" w:rsidP="006E19C5">
            <w:pPr>
              <w:pStyle w:val="Tabletext"/>
              <w:rPr>
                <w:lang w:eastAsia="en-NZ"/>
              </w:rPr>
            </w:pPr>
            <w:r w:rsidRPr="00277BEC">
              <w:rPr>
                <w:lang w:eastAsia="en-NZ"/>
              </w:rPr>
              <w:t>Female</w:t>
            </w:r>
          </w:p>
        </w:tc>
        <w:tc>
          <w:tcPr>
            <w:tcW w:w="0" w:type="auto"/>
            <w:shd w:val="clear" w:color="auto" w:fill="auto"/>
            <w:noWrap/>
            <w:vAlign w:val="bottom"/>
          </w:tcPr>
          <w:p w14:paraId="0BFB8716" w14:textId="3E7392F8" w:rsidR="00897E4D" w:rsidRPr="00277BEC" w:rsidRDefault="00897E4D" w:rsidP="00953A79">
            <w:pPr>
              <w:pStyle w:val="Tabletext"/>
              <w:rPr>
                <w:lang w:eastAsia="en-NZ"/>
              </w:rPr>
            </w:pPr>
            <w:r w:rsidRPr="00277BEC">
              <w:rPr>
                <w:rFonts w:eastAsia="Times New Roman"/>
                <w:color w:val="000000"/>
                <w:lang w:eastAsia="en-NZ"/>
              </w:rPr>
              <w:t>52.4</w:t>
            </w:r>
          </w:p>
        </w:tc>
        <w:tc>
          <w:tcPr>
            <w:tcW w:w="0" w:type="auto"/>
            <w:shd w:val="clear" w:color="auto" w:fill="auto"/>
            <w:noWrap/>
            <w:vAlign w:val="bottom"/>
          </w:tcPr>
          <w:p w14:paraId="4B7A1CD3" w14:textId="72DA10C7" w:rsidR="00897E4D" w:rsidRPr="00277BEC" w:rsidRDefault="00897E4D" w:rsidP="00953A79">
            <w:pPr>
              <w:pStyle w:val="Tabletext"/>
              <w:rPr>
                <w:lang w:eastAsia="en-NZ"/>
              </w:rPr>
            </w:pPr>
            <w:r w:rsidRPr="00277BEC">
              <w:rPr>
                <w:rFonts w:eastAsia="Times New Roman"/>
                <w:color w:val="000000"/>
                <w:lang w:eastAsia="en-NZ"/>
              </w:rPr>
              <w:t>49.9</w:t>
            </w:r>
          </w:p>
        </w:tc>
        <w:tc>
          <w:tcPr>
            <w:tcW w:w="0" w:type="auto"/>
            <w:shd w:val="clear" w:color="auto" w:fill="auto"/>
            <w:noWrap/>
            <w:vAlign w:val="bottom"/>
          </w:tcPr>
          <w:p w14:paraId="26B0AF95" w14:textId="32C29695" w:rsidR="00897E4D" w:rsidRPr="00277BEC" w:rsidRDefault="00897E4D" w:rsidP="00953A79">
            <w:pPr>
              <w:pStyle w:val="Tabletext"/>
              <w:rPr>
                <w:lang w:eastAsia="en-NZ"/>
              </w:rPr>
            </w:pPr>
            <w:r w:rsidRPr="00277BEC">
              <w:rPr>
                <w:rFonts w:eastAsia="Times New Roman"/>
                <w:color w:val="000000"/>
                <w:lang w:eastAsia="en-NZ"/>
              </w:rPr>
              <w:t>54.7</w:t>
            </w:r>
          </w:p>
        </w:tc>
        <w:tc>
          <w:tcPr>
            <w:tcW w:w="0" w:type="auto"/>
            <w:shd w:val="clear" w:color="auto" w:fill="auto"/>
            <w:noWrap/>
            <w:vAlign w:val="bottom"/>
          </w:tcPr>
          <w:p w14:paraId="634CB44E" w14:textId="6E17A85E" w:rsidR="00897E4D" w:rsidRPr="00277BEC" w:rsidRDefault="00897E4D" w:rsidP="00953A79">
            <w:pPr>
              <w:pStyle w:val="Tabletext"/>
              <w:rPr>
                <w:lang w:eastAsia="en-NZ"/>
              </w:rPr>
            </w:pPr>
            <w:r w:rsidRPr="00277BEC">
              <w:rPr>
                <w:rFonts w:eastAsia="Times New Roman"/>
                <w:color w:val="000000"/>
                <w:lang w:eastAsia="en-NZ"/>
              </w:rPr>
              <w:t>51.4</w:t>
            </w:r>
          </w:p>
        </w:tc>
      </w:tr>
      <w:tr w:rsidR="00897E4D" w:rsidRPr="00277BEC" w14:paraId="58BBB206" w14:textId="77777777" w:rsidTr="006E19C5">
        <w:trPr>
          <w:trHeight w:val="300"/>
          <w:tblCellSpacing w:w="20" w:type="dxa"/>
        </w:trPr>
        <w:tc>
          <w:tcPr>
            <w:tcW w:w="0" w:type="auto"/>
            <w:tcBorders>
              <w:top w:val="nil"/>
            </w:tcBorders>
            <w:shd w:val="clear" w:color="auto" w:fill="auto"/>
            <w:noWrap/>
            <w:vAlign w:val="bottom"/>
            <w:hideMark/>
          </w:tcPr>
          <w:p w14:paraId="7C1B4011" w14:textId="187C965D" w:rsidR="00897E4D" w:rsidRPr="00277BEC" w:rsidRDefault="00897E4D" w:rsidP="00953A79">
            <w:pPr>
              <w:pStyle w:val="Tabletext"/>
              <w:rPr>
                <w:lang w:eastAsia="en-NZ"/>
              </w:rPr>
            </w:pPr>
            <w:r w:rsidRPr="00277BEC">
              <w:rPr>
                <w:lang w:eastAsia="en-NZ"/>
              </w:rPr>
              <w:t>Male</w:t>
            </w:r>
          </w:p>
        </w:tc>
        <w:tc>
          <w:tcPr>
            <w:tcW w:w="0" w:type="auto"/>
            <w:shd w:val="clear" w:color="auto" w:fill="auto"/>
            <w:noWrap/>
            <w:vAlign w:val="bottom"/>
          </w:tcPr>
          <w:p w14:paraId="3C75CE2D" w14:textId="1CA320FA" w:rsidR="00897E4D" w:rsidRPr="00277BEC" w:rsidRDefault="00897E4D" w:rsidP="00953A79">
            <w:pPr>
              <w:pStyle w:val="Tabletext"/>
              <w:rPr>
                <w:lang w:eastAsia="en-NZ"/>
              </w:rPr>
            </w:pPr>
            <w:r w:rsidRPr="00277BEC">
              <w:rPr>
                <w:rFonts w:eastAsia="Times New Roman"/>
                <w:color w:val="000000"/>
                <w:lang w:eastAsia="en-NZ"/>
              </w:rPr>
              <w:t>47.6</w:t>
            </w:r>
          </w:p>
        </w:tc>
        <w:tc>
          <w:tcPr>
            <w:tcW w:w="0" w:type="auto"/>
            <w:shd w:val="clear" w:color="auto" w:fill="auto"/>
            <w:noWrap/>
            <w:vAlign w:val="bottom"/>
          </w:tcPr>
          <w:p w14:paraId="0E7373E2" w14:textId="3934CFFE" w:rsidR="00897E4D" w:rsidRPr="00277BEC" w:rsidRDefault="00897E4D" w:rsidP="00953A79">
            <w:pPr>
              <w:pStyle w:val="Tabletext"/>
              <w:rPr>
                <w:lang w:eastAsia="en-NZ"/>
              </w:rPr>
            </w:pPr>
            <w:r w:rsidRPr="00277BEC">
              <w:rPr>
                <w:rFonts w:eastAsia="Times New Roman"/>
                <w:color w:val="000000"/>
                <w:lang w:eastAsia="en-NZ"/>
              </w:rPr>
              <w:t>50.1</w:t>
            </w:r>
          </w:p>
        </w:tc>
        <w:tc>
          <w:tcPr>
            <w:tcW w:w="0" w:type="auto"/>
            <w:shd w:val="clear" w:color="auto" w:fill="auto"/>
            <w:noWrap/>
            <w:vAlign w:val="bottom"/>
          </w:tcPr>
          <w:p w14:paraId="7E316F47" w14:textId="3A1C0D74" w:rsidR="00897E4D" w:rsidRPr="00277BEC" w:rsidRDefault="00897E4D" w:rsidP="00953A79">
            <w:pPr>
              <w:pStyle w:val="Tabletext"/>
              <w:rPr>
                <w:lang w:eastAsia="en-NZ"/>
              </w:rPr>
            </w:pPr>
            <w:r w:rsidRPr="00277BEC">
              <w:rPr>
                <w:rFonts w:eastAsia="Times New Roman"/>
                <w:color w:val="000000"/>
                <w:lang w:eastAsia="en-NZ"/>
              </w:rPr>
              <w:t>45.3</w:t>
            </w:r>
          </w:p>
        </w:tc>
        <w:tc>
          <w:tcPr>
            <w:tcW w:w="0" w:type="auto"/>
            <w:shd w:val="clear" w:color="auto" w:fill="auto"/>
            <w:noWrap/>
            <w:vAlign w:val="bottom"/>
          </w:tcPr>
          <w:p w14:paraId="4986F040" w14:textId="613CEE3C" w:rsidR="00897E4D" w:rsidRPr="00277BEC" w:rsidRDefault="00897E4D" w:rsidP="00953A79">
            <w:pPr>
              <w:pStyle w:val="Tabletext"/>
              <w:rPr>
                <w:lang w:eastAsia="en-NZ"/>
              </w:rPr>
            </w:pPr>
            <w:r w:rsidRPr="00277BEC">
              <w:rPr>
                <w:rFonts w:eastAsia="Times New Roman"/>
                <w:color w:val="000000"/>
                <w:lang w:eastAsia="en-NZ"/>
              </w:rPr>
              <w:t>48.6</w:t>
            </w:r>
          </w:p>
        </w:tc>
      </w:tr>
      <w:tr w:rsidR="00897E4D" w:rsidRPr="00277BEC" w14:paraId="442D5253" w14:textId="77777777" w:rsidTr="006E19C5">
        <w:trPr>
          <w:trHeight w:val="300"/>
          <w:tblCellSpacing w:w="20" w:type="dxa"/>
        </w:trPr>
        <w:tc>
          <w:tcPr>
            <w:tcW w:w="0" w:type="auto"/>
            <w:tcBorders>
              <w:bottom w:val="nil"/>
            </w:tcBorders>
            <w:shd w:val="clear" w:color="auto" w:fill="auto"/>
            <w:noWrap/>
            <w:vAlign w:val="bottom"/>
            <w:hideMark/>
          </w:tcPr>
          <w:p w14:paraId="0C460C3B" w14:textId="5E9FF9AF" w:rsidR="00897E4D" w:rsidRPr="00277BEC" w:rsidRDefault="00897E4D" w:rsidP="00953A79">
            <w:pPr>
              <w:pStyle w:val="Tabletext"/>
              <w:rPr>
                <w:lang w:eastAsia="en-NZ"/>
              </w:rPr>
            </w:pPr>
            <w:r w:rsidRPr="00277BEC">
              <w:rPr>
                <w:lang w:eastAsia="en-NZ"/>
              </w:rPr>
              <w:t>Asian</w:t>
            </w:r>
          </w:p>
        </w:tc>
        <w:tc>
          <w:tcPr>
            <w:tcW w:w="0" w:type="auto"/>
            <w:shd w:val="clear" w:color="auto" w:fill="auto"/>
            <w:noWrap/>
            <w:vAlign w:val="bottom"/>
          </w:tcPr>
          <w:p w14:paraId="764FF644" w14:textId="3A3AA70F" w:rsidR="00897E4D" w:rsidRPr="00277BEC" w:rsidRDefault="00897E4D" w:rsidP="00953A79">
            <w:pPr>
              <w:pStyle w:val="Tabletext"/>
              <w:rPr>
                <w:lang w:eastAsia="en-NZ"/>
              </w:rPr>
            </w:pPr>
            <w:r w:rsidRPr="00277BEC">
              <w:rPr>
                <w:rFonts w:eastAsia="Times New Roman"/>
                <w:color w:val="000000"/>
                <w:lang w:eastAsia="en-NZ"/>
              </w:rPr>
              <w:t>11.0</w:t>
            </w:r>
          </w:p>
        </w:tc>
        <w:tc>
          <w:tcPr>
            <w:tcW w:w="0" w:type="auto"/>
            <w:shd w:val="clear" w:color="auto" w:fill="auto"/>
            <w:noWrap/>
            <w:vAlign w:val="bottom"/>
          </w:tcPr>
          <w:p w14:paraId="74A78FCD" w14:textId="7727C748" w:rsidR="00897E4D" w:rsidRPr="00277BEC" w:rsidRDefault="00897E4D" w:rsidP="00953A79">
            <w:pPr>
              <w:pStyle w:val="Tabletext"/>
              <w:rPr>
                <w:lang w:eastAsia="en-NZ"/>
              </w:rPr>
            </w:pPr>
            <w:r w:rsidRPr="00277BEC">
              <w:rPr>
                <w:rFonts w:eastAsia="Times New Roman"/>
                <w:color w:val="000000"/>
                <w:lang w:eastAsia="en-NZ"/>
              </w:rPr>
              <w:t>10.7</w:t>
            </w:r>
          </w:p>
        </w:tc>
        <w:tc>
          <w:tcPr>
            <w:tcW w:w="0" w:type="auto"/>
            <w:shd w:val="clear" w:color="auto" w:fill="auto"/>
            <w:noWrap/>
            <w:vAlign w:val="bottom"/>
          </w:tcPr>
          <w:p w14:paraId="5B44AA7A" w14:textId="4C151762" w:rsidR="00897E4D" w:rsidRPr="00277BEC" w:rsidRDefault="00897E4D" w:rsidP="00953A79">
            <w:pPr>
              <w:pStyle w:val="Tabletext"/>
              <w:rPr>
                <w:lang w:eastAsia="en-NZ"/>
              </w:rPr>
            </w:pPr>
            <w:r w:rsidRPr="00277BEC">
              <w:rPr>
                <w:rFonts w:eastAsia="Times New Roman"/>
                <w:color w:val="000000"/>
                <w:lang w:eastAsia="en-NZ"/>
              </w:rPr>
              <w:t>7.2</w:t>
            </w:r>
          </w:p>
        </w:tc>
        <w:tc>
          <w:tcPr>
            <w:tcW w:w="0" w:type="auto"/>
            <w:shd w:val="clear" w:color="auto" w:fill="auto"/>
            <w:noWrap/>
            <w:vAlign w:val="bottom"/>
          </w:tcPr>
          <w:p w14:paraId="744CDFA9" w14:textId="602ED8C0" w:rsidR="00897E4D" w:rsidRPr="00277BEC" w:rsidRDefault="00897E4D" w:rsidP="00953A79">
            <w:pPr>
              <w:pStyle w:val="Tabletext"/>
              <w:rPr>
                <w:lang w:eastAsia="en-NZ"/>
              </w:rPr>
            </w:pPr>
            <w:r w:rsidRPr="00277BEC">
              <w:rPr>
                <w:rFonts w:eastAsia="Times New Roman"/>
                <w:color w:val="000000"/>
                <w:lang w:eastAsia="en-NZ"/>
              </w:rPr>
              <w:t>9.3</w:t>
            </w:r>
          </w:p>
        </w:tc>
      </w:tr>
      <w:tr w:rsidR="00897E4D" w:rsidRPr="00277BEC" w14:paraId="3D478A32" w14:textId="77777777" w:rsidTr="006E19C5">
        <w:trPr>
          <w:trHeight w:val="300"/>
          <w:tblCellSpacing w:w="20" w:type="dxa"/>
        </w:trPr>
        <w:tc>
          <w:tcPr>
            <w:tcW w:w="0" w:type="auto"/>
            <w:tcBorders>
              <w:top w:val="nil"/>
              <w:bottom w:val="nil"/>
            </w:tcBorders>
            <w:shd w:val="clear" w:color="auto" w:fill="auto"/>
            <w:noWrap/>
            <w:vAlign w:val="bottom"/>
            <w:hideMark/>
          </w:tcPr>
          <w:p w14:paraId="19BC24C7" w14:textId="342E600D" w:rsidR="00897E4D" w:rsidRPr="00277BEC" w:rsidRDefault="00897E4D" w:rsidP="006E19C5">
            <w:pPr>
              <w:pStyle w:val="Tabletext"/>
              <w:rPr>
                <w:lang w:eastAsia="en-NZ"/>
              </w:rPr>
            </w:pPr>
            <w:r w:rsidRPr="00277BEC">
              <w:rPr>
                <w:lang w:eastAsia="en-NZ"/>
              </w:rPr>
              <w:t>NZ European</w:t>
            </w:r>
          </w:p>
        </w:tc>
        <w:tc>
          <w:tcPr>
            <w:tcW w:w="0" w:type="auto"/>
            <w:shd w:val="clear" w:color="auto" w:fill="auto"/>
            <w:noWrap/>
            <w:vAlign w:val="bottom"/>
          </w:tcPr>
          <w:p w14:paraId="61DBABF9" w14:textId="003E28E7" w:rsidR="00897E4D" w:rsidRPr="00277BEC" w:rsidRDefault="00897E4D" w:rsidP="00953A79">
            <w:pPr>
              <w:pStyle w:val="Tabletext"/>
              <w:rPr>
                <w:lang w:eastAsia="en-NZ"/>
              </w:rPr>
            </w:pPr>
            <w:r w:rsidRPr="00277BEC">
              <w:rPr>
                <w:rFonts w:eastAsia="Times New Roman"/>
                <w:color w:val="000000"/>
                <w:lang w:eastAsia="en-NZ"/>
              </w:rPr>
              <w:t>54.1</w:t>
            </w:r>
          </w:p>
        </w:tc>
        <w:tc>
          <w:tcPr>
            <w:tcW w:w="0" w:type="auto"/>
            <w:shd w:val="clear" w:color="auto" w:fill="auto"/>
            <w:noWrap/>
            <w:vAlign w:val="bottom"/>
          </w:tcPr>
          <w:p w14:paraId="43616CD0" w14:textId="6BB3CFA7" w:rsidR="00897E4D" w:rsidRPr="00277BEC" w:rsidRDefault="00897E4D" w:rsidP="00953A79">
            <w:pPr>
              <w:pStyle w:val="Tabletext"/>
              <w:rPr>
                <w:lang w:eastAsia="en-NZ"/>
              </w:rPr>
            </w:pPr>
            <w:r w:rsidRPr="00277BEC">
              <w:rPr>
                <w:rFonts w:eastAsia="Times New Roman"/>
                <w:color w:val="000000"/>
                <w:lang w:eastAsia="en-NZ"/>
              </w:rPr>
              <w:t>54.4</w:t>
            </w:r>
          </w:p>
        </w:tc>
        <w:tc>
          <w:tcPr>
            <w:tcW w:w="0" w:type="auto"/>
            <w:shd w:val="clear" w:color="auto" w:fill="auto"/>
            <w:noWrap/>
            <w:vAlign w:val="bottom"/>
          </w:tcPr>
          <w:p w14:paraId="0B983CFC" w14:textId="6C321A2D" w:rsidR="00897E4D" w:rsidRPr="00277BEC" w:rsidRDefault="00897E4D" w:rsidP="00953A79">
            <w:pPr>
              <w:pStyle w:val="Tabletext"/>
              <w:rPr>
                <w:lang w:eastAsia="en-NZ"/>
              </w:rPr>
            </w:pPr>
            <w:r w:rsidRPr="00277BEC">
              <w:rPr>
                <w:rFonts w:eastAsia="Times New Roman"/>
                <w:color w:val="000000"/>
                <w:lang w:eastAsia="en-NZ"/>
              </w:rPr>
              <w:t>68.8</w:t>
            </w:r>
          </w:p>
        </w:tc>
        <w:tc>
          <w:tcPr>
            <w:tcW w:w="0" w:type="auto"/>
            <w:shd w:val="clear" w:color="auto" w:fill="auto"/>
            <w:noWrap/>
            <w:vAlign w:val="bottom"/>
          </w:tcPr>
          <w:p w14:paraId="6A6845B8" w14:textId="322D8F75" w:rsidR="00897E4D" w:rsidRPr="00277BEC" w:rsidRDefault="00897E4D" w:rsidP="00953A79">
            <w:pPr>
              <w:pStyle w:val="Tabletext"/>
              <w:rPr>
                <w:lang w:eastAsia="en-NZ"/>
              </w:rPr>
            </w:pPr>
            <w:r w:rsidRPr="00277BEC">
              <w:rPr>
                <w:rFonts w:eastAsia="Times New Roman"/>
                <w:color w:val="000000"/>
                <w:lang w:eastAsia="en-NZ"/>
              </w:rPr>
              <w:t>54.2</w:t>
            </w:r>
          </w:p>
        </w:tc>
      </w:tr>
      <w:tr w:rsidR="00897E4D" w:rsidRPr="00277BEC" w14:paraId="4860D821" w14:textId="77777777" w:rsidTr="006E19C5">
        <w:trPr>
          <w:trHeight w:val="300"/>
          <w:tblCellSpacing w:w="20" w:type="dxa"/>
        </w:trPr>
        <w:tc>
          <w:tcPr>
            <w:tcW w:w="0" w:type="auto"/>
            <w:tcBorders>
              <w:top w:val="nil"/>
              <w:bottom w:val="nil"/>
            </w:tcBorders>
            <w:shd w:val="clear" w:color="auto" w:fill="auto"/>
            <w:noWrap/>
            <w:vAlign w:val="bottom"/>
            <w:hideMark/>
          </w:tcPr>
          <w:p w14:paraId="7C8D7EA5" w14:textId="6A398A25" w:rsidR="00897E4D" w:rsidRPr="00277BEC" w:rsidRDefault="00897E4D" w:rsidP="006E19C5">
            <w:pPr>
              <w:pStyle w:val="Tabletext"/>
              <w:rPr>
                <w:lang w:eastAsia="en-NZ"/>
              </w:rPr>
            </w:pPr>
            <w:r w:rsidRPr="00277BEC">
              <w:rPr>
                <w:lang w:eastAsia="en-NZ"/>
              </w:rPr>
              <w:t>NZ Māori</w:t>
            </w:r>
          </w:p>
        </w:tc>
        <w:tc>
          <w:tcPr>
            <w:tcW w:w="0" w:type="auto"/>
            <w:shd w:val="clear" w:color="auto" w:fill="auto"/>
            <w:noWrap/>
            <w:vAlign w:val="bottom"/>
          </w:tcPr>
          <w:p w14:paraId="5B408204" w14:textId="18E55A11" w:rsidR="00897E4D" w:rsidRPr="00277BEC" w:rsidRDefault="00897E4D" w:rsidP="00953A79">
            <w:pPr>
              <w:pStyle w:val="Tabletext"/>
              <w:rPr>
                <w:lang w:eastAsia="en-NZ"/>
              </w:rPr>
            </w:pPr>
            <w:r w:rsidRPr="00277BEC">
              <w:rPr>
                <w:rFonts w:eastAsia="Times New Roman"/>
                <w:color w:val="000000"/>
                <w:lang w:eastAsia="en-NZ"/>
              </w:rPr>
              <w:t>12.5</w:t>
            </w:r>
          </w:p>
        </w:tc>
        <w:tc>
          <w:tcPr>
            <w:tcW w:w="0" w:type="auto"/>
            <w:shd w:val="clear" w:color="auto" w:fill="auto"/>
            <w:noWrap/>
            <w:vAlign w:val="bottom"/>
          </w:tcPr>
          <w:p w14:paraId="54C8B9E1" w14:textId="31BCFA7F" w:rsidR="00897E4D" w:rsidRPr="00277BEC" w:rsidRDefault="00897E4D" w:rsidP="00953A79">
            <w:pPr>
              <w:pStyle w:val="Tabletext"/>
              <w:rPr>
                <w:lang w:eastAsia="en-NZ"/>
              </w:rPr>
            </w:pPr>
            <w:r w:rsidRPr="00277BEC">
              <w:rPr>
                <w:rFonts w:eastAsia="Times New Roman"/>
                <w:color w:val="000000"/>
                <w:lang w:eastAsia="en-NZ"/>
              </w:rPr>
              <w:t>18.4</w:t>
            </w:r>
          </w:p>
        </w:tc>
        <w:tc>
          <w:tcPr>
            <w:tcW w:w="0" w:type="auto"/>
            <w:shd w:val="clear" w:color="auto" w:fill="auto"/>
            <w:noWrap/>
            <w:vAlign w:val="bottom"/>
          </w:tcPr>
          <w:p w14:paraId="338FD231" w14:textId="39E29614" w:rsidR="00897E4D" w:rsidRPr="00277BEC" w:rsidRDefault="00897E4D" w:rsidP="00953A79">
            <w:pPr>
              <w:pStyle w:val="Tabletext"/>
              <w:rPr>
                <w:lang w:eastAsia="en-NZ"/>
              </w:rPr>
            </w:pPr>
            <w:r w:rsidRPr="00277BEC">
              <w:rPr>
                <w:rFonts w:eastAsia="Times New Roman"/>
                <w:color w:val="000000"/>
                <w:lang w:eastAsia="en-NZ"/>
              </w:rPr>
              <w:t>9.5</w:t>
            </w:r>
          </w:p>
        </w:tc>
        <w:tc>
          <w:tcPr>
            <w:tcW w:w="0" w:type="auto"/>
            <w:shd w:val="clear" w:color="auto" w:fill="auto"/>
            <w:noWrap/>
            <w:vAlign w:val="bottom"/>
          </w:tcPr>
          <w:p w14:paraId="2F7F7965" w14:textId="44A46318" w:rsidR="00897E4D" w:rsidRPr="00277BEC" w:rsidRDefault="00897E4D" w:rsidP="00953A79">
            <w:pPr>
              <w:pStyle w:val="Tabletext"/>
              <w:rPr>
                <w:lang w:eastAsia="en-NZ"/>
              </w:rPr>
            </w:pPr>
            <w:r w:rsidRPr="00277BEC">
              <w:rPr>
                <w:rFonts w:eastAsia="Times New Roman"/>
                <w:color w:val="000000"/>
                <w:lang w:eastAsia="en-NZ"/>
              </w:rPr>
              <w:t>23.7</w:t>
            </w:r>
          </w:p>
        </w:tc>
      </w:tr>
      <w:tr w:rsidR="00897E4D" w:rsidRPr="00277BEC" w14:paraId="60B6AA2A" w14:textId="77777777" w:rsidTr="006E19C5">
        <w:trPr>
          <w:trHeight w:val="300"/>
          <w:tblCellSpacing w:w="20" w:type="dxa"/>
        </w:trPr>
        <w:tc>
          <w:tcPr>
            <w:tcW w:w="0" w:type="auto"/>
            <w:tcBorders>
              <w:top w:val="nil"/>
              <w:bottom w:val="nil"/>
            </w:tcBorders>
            <w:shd w:val="clear" w:color="auto" w:fill="auto"/>
            <w:noWrap/>
            <w:vAlign w:val="bottom"/>
            <w:hideMark/>
          </w:tcPr>
          <w:p w14:paraId="46504BEB" w14:textId="6098200D" w:rsidR="00897E4D" w:rsidRPr="00277BEC" w:rsidRDefault="00897E4D" w:rsidP="006E19C5">
            <w:pPr>
              <w:pStyle w:val="Tabletext"/>
              <w:rPr>
                <w:lang w:eastAsia="en-NZ"/>
              </w:rPr>
            </w:pPr>
            <w:r w:rsidRPr="00277BEC">
              <w:rPr>
                <w:lang w:eastAsia="en-NZ"/>
              </w:rPr>
              <w:t>Pasifika</w:t>
            </w:r>
          </w:p>
        </w:tc>
        <w:tc>
          <w:tcPr>
            <w:tcW w:w="0" w:type="auto"/>
            <w:shd w:val="clear" w:color="auto" w:fill="auto"/>
            <w:noWrap/>
            <w:vAlign w:val="bottom"/>
          </w:tcPr>
          <w:p w14:paraId="117D5FB9" w14:textId="717A63C9" w:rsidR="00897E4D" w:rsidRPr="00277BEC" w:rsidRDefault="00897E4D" w:rsidP="00953A79">
            <w:pPr>
              <w:pStyle w:val="Tabletext"/>
              <w:rPr>
                <w:lang w:eastAsia="en-NZ"/>
              </w:rPr>
            </w:pPr>
            <w:r w:rsidRPr="00277BEC">
              <w:rPr>
                <w:rFonts w:eastAsia="Times New Roman"/>
                <w:color w:val="000000"/>
                <w:lang w:eastAsia="en-NZ"/>
              </w:rPr>
              <w:t>15.8</w:t>
            </w:r>
          </w:p>
        </w:tc>
        <w:tc>
          <w:tcPr>
            <w:tcW w:w="0" w:type="auto"/>
            <w:shd w:val="clear" w:color="auto" w:fill="auto"/>
            <w:noWrap/>
            <w:vAlign w:val="bottom"/>
          </w:tcPr>
          <w:p w14:paraId="11CDFE86" w14:textId="7F530E93" w:rsidR="00897E4D" w:rsidRPr="00277BEC" w:rsidRDefault="00897E4D" w:rsidP="00953A79">
            <w:pPr>
              <w:pStyle w:val="Tabletext"/>
              <w:rPr>
                <w:lang w:eastAsia="en-NZ"/>
              </w:rPr>
            </w:pPr>
            <w:r w:rsidRPr="00277BEC">
              <w:rPr>
                <w:rFonts w:eastAsia="Times New Roman"/>
                <w:color w:val="000000"/>
                <w:lang w:eastAsia="en-NZ"/>
              </w:rPr>
              <w:t>9.1</w:t>
            </w:r>
          </w:p>
        </w:tc>
        <w:tc>
          <w:tcPr>
            <w:tcW w:w="0" w:type="auto"/>
            <w:shd w:val="clear" w:color="auto" w:fill="auto"/>
            <w:noWrap/>
            <w:vAlign w:val="bottom"/>
          </w:tcPr>
          <w:p w14:paraId="26AA04A4" w14:textId="306327A5" w:rsidR="00897E4D" w:rsidRPr="00277BEC" w:rsidRDefault="00897E4D" w:rsidP="00953A79">
            <w:pPr>
              <w:pStyle w:val="Tabletext"/>
              <w:rPr>
                <w:lang w:eastAsia="en-NZ"/>
              </w:rPr>
            </w:pPr>
            <w:r w:rsidRPr="00277BEC">
              <w:rPr>
                <w:rFonts w:eastAsia="Times New Roman"/>
                <w:color w:val="000000"/>
                <w:lang w:eastAsia="en-NZ"/>
              </w:rPr>
              <w:t>5.2</w:t>
            </w:r>
          </w:p>
        </w:tc>
        <w:tc>
          <w:tcPr>
            <w:tcW w:w="0" w:type="auto"/>
            <w:shd w:val="clear" w:color="auto" w:fill="auto"/>
            <w:noWrap/>
            <w:vAlign w:val="bottom"/>
          </w:tcPr>
          <w:p w14:paraId="6380D6A0" w14:textId="66F4C3B9" w:rsidR="00897E4D" w:rsidRPr="00277BEC" w:rsidRDefault="00897E4D" w:rsidP="00953A79">
            <w:pPr>
              <w:pStyle w:val="Tabletext"/>
              <w:rPr>
                <w:lang w:eastAsia="en-NZ"/>
              </w:rPr>
            </w:pPr>
            <w:r w:rsidRPr="00277BEC">
              <w:rPr>
                <w:rFonts w:eastAsia="Times New Roman"/>
                <w:color w:val="000000"/>
                <w:lang w:eastAsia="en-NZ"/>
              </w:rPr>
              <w:t>9.9</w:t>
            </w:r>
          </w:p>
        </w:tc>
      </w:tr>
      <w:tr w:rsidR="00897E4D" w:rsidRPr="00277BEC" w14:paraId="5707D525" w14:textId="77777777" w:rsidTr="006E19C5">
        <w:trPr>
          <w:trHeight w:val="300"/>
          <w:tblCellSpacing w:w="20" w:type="dxa"/>
        </w:trPr>
        <w:tc>
          <w:tcPr>
            <w:tcW w:w="0" w:type="auto"/>
            <w:tcBorders>
              <w:top w:val="nil"/>
            </w:tcBorders>
            <w:shd w:val="clear" w:color="auto" w:fill="auto"/>
            <w:noWrap/>
            <w:vAlign w:val="bottom"/>
            <w:hideMark/>
          </w:tcPr>
          <w:p w14:paraId="5AAAF8A1" w14:textId="1DD6D2C8" w:rsidR="00897E4D" w:rsidRPr="00277BEC" w:rsidRDefault="00897E4D" w:rsidP="00953A79">
            <w:pPr>
              <w:pStyle w:val="Tabletext"/>
              <w:rPr>
                <w:lang w:eastAsia="en-NZ"/>
              </w:rPr>
            </w:pPr>
            <w:r w:rsidRPr="00277BEC">
              <w:rPr>
                <w:lang w:eastAsia="en-NZ"/>
              </w:rPr>
              <w:t>Other</w:t>
            </w:r>
          </w:p>
        </w:tc>
        <w:tc>
          <w:tcPr>
            <w:tcW w:w="0" w:type="auto"/>
            <w:shd w:val="clear" w:color="auto" w:fill="auto"/>
            <w:noWrap/>
            <w:vAlign w:val="bottom"/>
          </w:tcPr>
          <w:p w14:paraId="6C111D7D" w14:textId="570587CB" w:rsidR="00897E4D" w:rsidRPr="00277BEC" w:rsidRDefault="00897E4D" w:rsidP="00953A79">
            <w:pPr>
              <w:pStyle w:val="Tabletext"/>
              <w:rPr>
                <w:lang w:eastAsia="en-NZ"/>
              </w:rPr>
            </w:pPr>
            <w:r w:rsidRPr="00277BEC">
              <w:rPr>
                <w:rFonts w:eastAsia="Times New Roman"/>
                <w:color w:val="000000"/>
                <w:lang w:eastAsia="en-NZ"/>
              </w:rPr>
              <w:t>6.6</w:t>
            </w:r>
          </w:p>
        </w:tc>
        <w:tc>
          <w:tcPr>
            <w:tcW w:w="0" w:type="auto"/>
            <w:shd w:val="clear" w:color="auto" w:fill="auto"/>
            <w:noWrap/>
            <w:vAlign w:val="bottom"/>
          </w:tcPr>
          <w:p w14:paraId="67A53EEA" w14:textId="0A374CB1" w:rsidR="00897E4D" w:rsidRPr="00277BEC" w:rsidRDefault="00897E4D" w:rsidP="00953A79">
            <w:pPr>
              <w:pStyle w:val="Tabletext"/>
              <w:rPr>
                <w:lang w:eastAsia="en-NZ"/>
              </w:rPr>
            </w:pPr>
            <w:r w:rsidRPr="00277BEC">
              <w:rPr>
                <w:rFonts w:eastAsia="Times New Roman"/>
                <w:color w:val="000000"/>
                <w:lang w:eastAsia="en-NZ"/>
              </w:rPr>
              <w:t>7.4</w:t>
            </w:r>
          </w:p>
        </w:tc>
        <w:tc>
          <w:tcPr>
            <w:tcW w:w="0" w:type="auto"/>
            <w:shd w:val="clear" w:color="auto" w:fill="auto"/>
            <w:noWrap/>
            <w:vAlign w:val="bottom"/>
          </w:tcPr>
          <w:p w14:paraId="496B969C" w14:textId="0685E2E5" w:rsidR="00897E4D" w:rsidRPr="00277BEC" w:rsidRDefault="00897E4D" w:rsidP="00953A79">
            <w:pPr>
              <w:pStyle w:val="Tabletext"/>
              <w:rPr>
                <w:lang w:eastAsia="en-NZ"/>
              </w:rPr>
            </w:pPr>
            <w:r w:rsidRPr="00277BEC">
              <w:rPr>
                <w:rFonts w:eastAsia="Times New Roman"/>
                <w:color w:val="000000"/>
                <w:lang w:eastAsia="en-NZ"/>
              </w:rPr>
              <w:t>9.3</w:t>
            </w:r>
          </w:p>
        </w:tc>
        <w:tc>
          <w:tcPr>
            <w:tcW w:w="0" w:type="auto"/>
            <w:shd w:val="clear" w:color="auto" w:fill="auto"/>
            <w:noWrap/>
            <w:vAlign w:val="bottom"/>
          </w:tcPr>
          <w:p w14:paraId="3F7DC553" w14:textId="595E0E55" w:rsidR="00897E4D" w:rsidRPr="00277BEC" w:rsidRDefault="00897E4D" w:rsidP="00953A79">
            <w:pPr>
              <w:pStyle w:val="Tabletext"/>
              <w:rPr>
                <w:lang w:eastAsia="en-NZ"/>
              </w:rPr>
            </w:pPr>
            <w:r w:rsidRPr="00277BEC">
              <w:rPr>
                <w:rFonts w:eastAsia="Times New Roman"/>
                <w:color w:val="000000"/>
                <w:lang w:eastAsia="en-NZ"/>
              </w:rPr>
              <w:t>2.9</w:t>
            </w:r>
          </w:p>
        </w:tc>
      </w:tr>
      <w:tr w:rsidR="00897E4D" w:rsidRPr="00277BEC" w14:paraId="447F55E4" w14:textId="77777777" w:rsidTr="006E19C5">
        <w:trPr>
          <w:trHeight w:val="300"/>
          <w:tblCellSpacing w:w="20" w:type="dxa"/>
        </w:trPr>
        <w:tc>
          <w:tcPr>
            <w:tcW w:w="0" w:type="auto"/>
            <w:tcBorders>
              <w:bottom w:val="nil"/>
            </w:tcBorders>
            <w:shd w:val="clear" w:color="auto" w:fill="auto"/>
            <w:noWrap/>
            <w:vAlign w:val="bottom"/>
            <w:hideMark/>
          </w:tcPr>
          <w:p w14:paraId="128482C0" w14:textId="3C176ADD" w:rsidR="00897E4D" w:rsidRPr="00277BEC" w:rsidRDefault="00897E4D" w:rsidP="00953A79">
            <w:pPr>
              <w:pStyle w:val="Tabletext"/>
              <w:rPr>
                <w:lang w:eastAsia="en-NZ"/>
              </w:rPr>
            </w:pPr>
            <w:r w:rsidRPr="00277BEC">
              <w:rPr>
                <w:lang w:eastAsia="en-NZ"/>
              </w:rPr>
              <w:t>Decile</w:t>
            </w:r>
            <w:r w:rsidR="000539C6">
              <w:rPr>
                <w:lang w:eastAsia="en-NZ"/>
              </w:rPr>
              <w:t>s</w:t>
            </w:r>
            <w:r w:rsidRPr="00277BEC">
              <w:rPr>
                <w:lang w:eastAsia="en-NZ"/>
              </w:rPr>
              <w:t xml:space="preserve"> 1-3</w:t>
            </w:r>
          </w:p>
        </w:tc>
        <w:tc>
          <w:tcPr>
            <w:tcW w:w="0" w:type="auto"/>
            <w:shd w:val="clear" w:color="auto" w:fill="auto"/>
            <w:noWrap/>
            <w:vAlign w:val="bottom"/>
          </w:tcPr>
          <w:p w14:paraId="0098AB4A" w14:textId="026ABEDE" w:rsidR="00897E4D" w:rsidRPr="00277BEC" w:rsidRDefault="00897E4D" w:rsidP="00953A79">
            <w:pPr>
              <w:pStyle w:val="Tabletext"/>
              <w:rPr>
                <w:lang w:eastAsia="en-NZ"/>
              </w:rPr>
            </w:pPr>
            <w:r w:rsidRPr="00277BEC">
              <w:rPr>
                <w:rFonts w:eastAsia="Times New Roman"/>
                <w:color w:val="000000"/>
                <w:lang w:eastAsia="en-NZ"/>
              </w:rPr>
              <w:t>27.9</w:t>
            </w:r>
          </w:p>
        </w:tc>
        <w:tc>
          <w:tcPr>
            <w:tcW w:w="0" w:type="auto"/>
            <w:shd w:val="clear" w:color="auto" w:fill="auto"/>
            <w:noWrap/>
            <w:vAlign w:val="bottom"/>
          </w:tcPr>
          <w:p w14:paraId="7BEFD773" w14:textId="5428F3B5" w:rsidR="00897E4D" w:rsidRPr="00277BEC" w:rsidRDefault="00897E4D" w:rsidP="00953A79">
            <w:pPr>
              <w:pStyle w:val="Tabletext"/>
              <w:rPr>
                <w:lang w:eastAsia="en-NZ"/>
              </w:rPr>
            </w:pPr>
            <w:r w:rsidRPr="00277BEC">
              <w:rPr>
                <w:rFonts w:eastAsia="Times New Roman"/>
                <w:color w:val="000000"/>
                <w:lang w:eastAsia="en-NZ"/>
              </w:rPr>
              <w:t>17.8</w:t>
            </w:r>
          </w:p>
        </w:tc>
        <w:tc>
          <w:tcPr>
            <w:tcW w:w="0" w:type="auto"/>
            <w:shd w:val="clear" w:color="auto" w:fill="auto"/>
            <w:noWrap/>
            <w:vAlign w:val="bottom"/>
          </w:tcPr>
          <w:p w14:paraId="3B293F01" w14:textId="421A5547" w:rsidR="00897E4D" w:rsidRPr="00277BEC" w:rsidRDefault="00897E4D" w:rsidP="00953A79">
            <w:pPr>
              <w:pStyle w:val="Tabletext"/>
              <w:rPr>
                <w:lang w:eastAsia="en-NZ"/>
              </w:rPr>
            </w:pPr>
            <w:r w:rsidRPr="00277BEC">
              <w:rPr>
                <w:rFonts w:eastAsia="Times New Roman"/>
                <w:color w:val="000000"/>
                <w:lang w:eastAsia="en-NZ"/>
              </w:rPr>
              <w:t>2.4</w:t>
            </w:r>
          </w:p>
        </w:tc>
        <w:tc>
          <w:tcPr>
            <w:tcW w:w="0" w:type="auto"/>
            <w:shd w:val="clear" w:color="auto" w:fill="auto"/>
            <w:noWrap/>
            <w:vAlign w:val="bottom"/>
          </w:tcPr>
          <w:p w14:paraId="3862E1DB" w14:textId="07464C34" w:rsidR="00897E4D" w:rsidRPr="00277BEC" w:rsidRDefault="00897E4D" w:rsidP="00953A79">
            <w:pPr>
              <w:pStyle w:val="Tabletext"/>
              <w:rPr>
                <w:lang w:eastAsia="en-NZ"/>
              </w:rPr>
            </w:pPr>
            <w:r w:rsidRPr="00277BEC">
              <w:rPr>
                <w:rFonts w:eastAsia="Times New Roman"/>
                <w:color w:val="000000"/>
                <w:lang w:eastAsia="en-NZ"/>
              </w:rPr>
              <w:t>25</w:t>
            </w:r>
          </w:p>
        </w:tc>
      </w:tr>
      <w:tr w:rsidR="00897E4D" w:rsidRPr="00277BEC" w14:paraId="250FB40F" w14:textId="77777777" w:rsidTr="006E19C5">
        <w:trPr>
          <w:trHeight w:val="300"/>
          <w:tblCellSpacing w:w="20" w:type="dxa"/>
        </w:trPr>
        <w:tc>
          <w:tcPr>
            <w:tcW w:w="0" w:type="auto"/>
            <w:tcBorders>
              <w:top w:val="nil"/>
              <w:bottom w:val="nil"/>
            </w:tcBorders>
            <w:shd w:val="clear" w:color="auto" w:fill="auto"/>
            <w:noWrap/>
            <w:vAlign w:val="bottom"/>
            <w:hideMark/>
          </w:tcPr>
          <w:p w14:paraId="640EE2AB" w14:textId="696B752D" w:rsidR="00897E4D" w:rsidRPr="00277BEC" w:rsidRDefault="00897E4D" w:rsidP="006E19C5">
            <w:pPr>
              <w:pStyle w:val="Tabletext"/>
              <w:rPr>
                <w:lang w:eastAsia="en-NZ"/>
              </w:rPr>
            </w:pPr>
            <w:r w:rsidRPr="00277BEC">
              <w:rPr>
                <w:lang w:eastAsia="en-NZ"/>
              </w:rPr>
              <w:t>Decile</w:t>
            </w:r>
            <w:r w:rsidR="000539C6">
              <w:rPr>
                <w:lang w:eastAsia="en-NZ"/>
              </w:rPr>
              <w:t>s</w:t>
            </w:r>
            <w:r w:rsidRPr="00277BEC">
              <w:rPr>
                <w:lang w:eastAsia="en-NZ"/>
              </w:rPr>
              <w:t xml:space="preserve"> 4-7</w:t>
            </w:r>
          </w:p>
        </w:tc>
        <w:tc>
          <w:tcPr>
            <w:tcW w:w="0" w:type="auto"/>
            <w:shd w:val="clear" w:color="auto" w:fill="auto"/>
            <w:noWrap/>
            <w:vAlign w:val="bottom"/>
          </w:tcPr>
          <w:p w14:paraId="2A1AA7F8" w14:textId="2EE61E57" w:rsidR="00897E4D" w:rsidRPr="00277BEC" w:rsidRDefault="00897E4D" w:rsidP="00953A79">
            <w:pPr>
              <w:pStyle w:val="Tabletext"/>
              <w:rPr>
                <w:lang w:eastAsia="en-NZ"/>
              </w:rPr>
            </w:pPr>
            <w:r w:rsidRPr="00277BEC">
              <w:rPr>
                <w:rFonts w:eastAsia="Times New Roman"/>
                <w:color w:val="000000"/>
                <w:lang w:eastAsia="en-NZ"/>
              </w:rPr>
              <w:t>15.5</w:t>
            </w:r>
          </w:p>
        </w:tc>
        <w:tc>
          <w:tcPr>
            <w:tcW w:w="0" w:type="auto"/>
            <w:shd w:val="clear" w:color="auto" w:fill="auto"/>
            <w:noWrap/>
            <w:vAlign w:val="bottom"/>
          </w:tcPr>
          <w:p w14:paraId="5BAA9382" w14:textId="4D26B2F7" w:rsidR="00897E4D" w:rsidRPr="00277BEC" w:rsidRDefault="00897E4D" w:rsidP="00953A79">
            <w:pPr>
              <w:pStyle w:val="Tabletext"/>
              <w:rPr>
                <w:lang w:eastAsia="en-NZ"/>
              </w:rPr>
            </w:pPr>
            <w:r w:rsidRPr="00277BEC">
              <w:rPr>
                <w:rFonts w:eastAsia="Times New Roman"/>
                <w:color w:val="000000"/>
                <w:lang w:eastAsia="en-NZ"/>
              </w:rPr>
              <w:t>40.8</w:t>
            </w:r>
          </w:p>
        </w:tc>
        <w:tc>
          <w:tcPr>
            <w:tcW w:w="0" w:type="auto"/>
            <w:shd w:val="clear" w:color="auto" w:fill="auto"/>
            <w:noWrap/>
            <w:vAlign w:val="bottom"/>
          </w:tcPr>
          <w:p w14:paraId="39E9C7D4" w14:textId="60AC92E2" w:rsidR="00897E4D" w:rsidRPr="00277BEC" w:rsidRDefault="00897E4D" w:rsidP="00953A79">
            <w:pPr>
              <w:pStyle w:val="Tabletext"/>
              <w:rPr>
                <w:lang w:eastAsia="en-NZ"/>
              </w:rPr>
            </w:pPr>
            <w:r w:rsidRPr="00277BEC">
              <w:rPr>
                <w:rFonts w:eastAsia="Times New Roman"/>
                <w:color w:val="000000"/>
                <w:lang w:eastAsia="en-NZ"/>
              </w:rPr>
              <w:t>18.2</w:t>
            </w:r>
          </w:p>
        </w:tc>
        <w:tc>
          <w:tcPr>
            <w:tcW w:w="0" w:type="auto"/>
            <w:shd w:val="clear" w:color="auto" w:fill="auto"/>
            <w:noWrap/>
            <w:vAlign w:val="bottom"/>
          </w:tcPr>
          <w:p w14:paraId="58A3F58B" w14:textId="578BCA2E" w:rsidR="00897E4D" w:rsidRPr="00277BEC" w:rsidRDefault="00897E4D" w:rsidP="00953A79">
            <w:pPr>
              <w:pStyle w:val="Tabletext"/>
              <w:rPr>
                <w:lang w:eastAsia="en-NZ"/>
              </w:rPr>
            </w:pPr>
            <w:r w:rsidRPr="00277BEC">
              <w:rPr>
                <w:rFonts w:eastAsia="Times New Roman"/>
                <w:color w:val="000000"/>
                <w:lang w:eastAsia="en-NZ"/>
              </w:rPr>
              <w:t>35</w:t>
            </w:r>
          </w:p>
        </w:tc>
      </w:tr>
      <w:tr w:rsidR="00897E4D" w:rsidRPr="00277BEC" w14:paraId="729A5172" w14:textId="77777777" w:rsidTr="006E19C5">
        <w:trPr>
          <w:trHeight w:val="300"/>
          <w:tblCellSpacing w:w="20" w:type="dxa"/>
        </w:trPr>
        <w:tc>
          <w:tcPr>
            <w:tcW w:w="0" w:type="auto"/>
            <w:tcBorders>
              <w:top w:val="nil"/>
            </w:tcBorders>
            <w:shd w:val="clear" w:color="auto" w:fill="auto"/>
            <w:noWrap/>
            <w:vAlign w:val="bottom"/>
            <w:hideMark/>
          </w:tcPr>
          <w:p w14:paraId="667B5FC4" w14:textId="5A7B37D5" w:rsidR="00897E4D" w:rsidRPr="00277BEC" w:rsidRDefault="00897E4D" w:rsidP="00953A79">
            <w:pPr>
              <w:pStyle w:val="Tabletext"/>
              <w:rPr>
                <w:lang w:eastAsia="en-NZ"/>
              </w:rPr>
            </w:pPr>
            <w:r w:rsidRPr="00277BEC">
              <w:rPr>
                <w:lang w:eastAsia="en-NZ"/>
              </w:rPr>
              <w:t>Decile</w:t>
            </w:r>
            <w:r w:rsidR="000539C6">
              <w:rPr>
                <w:lang w:eastAsia="en-NZ"/>
              </w:rPr>
              <w:t>s</w:t>
            </w:r>
            <w:r w:rsidRPr="00277BEC">
              <w:rPr>
                <w:lang w:eastAsia="en-NZ"/>
              </w:rPr>
              <w:t xml:space="preserve"> 8-10</w:t>
            </w:r>
          </w:p>
        </w:tc>
        <w:tc>
          <w:tcPr>
            <w:tcW w:w="0" w:type="auto"/>
            <w:shd w:val="clear" w:color="auto" w:fill="auto"/>
            <w:noWrap/>
            <w:vAlign w:val="bottom"/>
          </w:tcPr>
          <w:p w14:paraId="2615C483" w14:textId="0ACF4013" w:rsidR="00897E4D" w:rsidRPr="00277BEC" w:rsidRDefault="00897E4D" w:rsidP="00953A79">
            <w:pPr>
              <w:pStyle w:val="Tabletext"/>
              <w:rPr>
                <w:lang w:eastAsia="en-NZ"/>
              </w:rPr>
            </w:pPr>
            <w:r w:rsidRPr="00277BEC">
              <w:rPr>
                <w:rFonts w:eastAsia="Times New Roman"/>
                <w:color w:val="000000"/>
                <w:lang w:eastAsia="en-NZ"/>
              </w:rPr>
              <w:t>56.6</w:t>
            </w:r>
          </w:p>
        </w:tc>
        <w:tc>
          <w:tcPr>
            <w:tcW w:w="0" w:type="auto"/>
            <w:shd w:val="clear" w:color="auto" w:fill="auto"/>
            <w:noWrap/>
            <w:vAlign w:val="bottom"/>
          </w:tcPr>
          <w:p w14:paraId="2C20950E" w14:textId="4BD9C39C" w:rsidR="00897E4D" w:rsidRPr="00277BEC" w:rsidRDefault="00897E4D" w:rsidP="00953A79">
            <w:pPr>
              <w:pStyle w:val="Tabletext"/>
              <w:rPr>
                <w:lang w:eastAsia="en-NZ"/>
              </w:rPr>
            </w:pPr>
            <w:r w:rsidRPr="00277BEC">
              <w:rPr>
                <w:rFonts w:eastAsia="Times New Roman"/>
                <w:color w:val="000000"/>
                <w:lang w:eastAsia="en-NZ"/>
              </w:rPr>
              <w:t>41.4</w:t>
            </w:r>
          </w:p>
        </w:tc>
        <w:tc>
          <w:tcPr>
            <w:tcW w:w="0" w:type="auto"/>
            <w:shd w:val="clear" w:color="auto" w:fill="auto"/>
            <w:noWrap/>
            <w:vAlign w:val="bottom"/>
          </w:tcPr>
          <w:p w14:paraId="79030E27" w14:textId="7C32260A" w:rsidR="00897E4D" w:rsidRPr="00277BEC" w:rsidRDefault="00897E4D" w:rsidP="00953A79">
            <w:pPr>
              <w:pStyle w:val="Tabletext"/>
              <w:rPr>
                <w:lang w:eastAsia="en-NZ"/>
              </w:rPr>
            </w:pPr>
            <w:r w:rsidRPr="00277BEC">
              <w:rPr>
                <w:rFonts w:eastAsia="Times New Roman"/>
                <w:color w:val="000000"/>
                <w:lang w:eastAsia="en-NZ"/>
              </w:rPr>
              <w:t>79.4</w:t>
            </w:r>
          </w:p>
        </w:tc>
        <w:tc>
          <w:tcPr>
            <w:tcW w:w="0" w:type="auto"/>
            <w:shd w:val="clear" w:color="auto" w:fill="auto"/>
            <w:noWrap/>
            <w:vAlign w:val="bottom"/>
          </w:tcPr>
          <w:p w14:paraId="0542E6BB" w14:textId="2AEA3CD4" w:rsidR="00897E4D" w:rsidRPr="00277BEC" w:rsidRDefault="00897E4D" w:rsidP="00953A79">
            <w:pPr>
              <w:pStyle w:val="Tabletext"/>
              <w:rPr>
                <w:lang w:eastAsia="en-NZ"/>
              </w:rPr>
            </w:pPr>
            <w:r w:rsidRPr="00277BEC">
              <w:rPr>
                <w:rFonts w:eastAsia="Times New Roman"/>
                <w:color w:val="000000"/>
                <w:lang w:eastAsia="en-NZ"/>
              </w:rPr>
              <w:t>40</w:t>
            </w:r>
          </w:p>
        </w:tc>
      </w:tr>
      <w:tr w:rsidR="00897E4D" w:rsidRPr="00277BEC" w14:paraId="6952E632" w14:textId="77777777" w:rsidTr="006E19C5">
        <w:trPr>
          <w:trHeight w:val="300"/>
          <w:tblCellSpacing w:w="20" w:type="dxa"/>
        </w:trPr>
        <w:tc>
          <w:tcPr>
            <w:tcW w:w="0" w:type="auto"/>
            <w:shd w:val="clear" w:color="auto" w:fill="auto"/>
            <w:noWrap/>
            <w:vAlign w:val="bottom"/>
            <w:hideMark/>
          </w:tcPr>
          <w:p w14:paraId="2533877D" w14:textId="77777777" w:rsidR="00897E4D" w:rsidRPr="00277BEC" w:rsidRDefault="00897E4D" w:rsidP="00953A79">
            <w:pPr>
              <w:pStyle w:val="Tabletext"/>
              <w:rPr>
                <w:i/>
                <w:iCs/>
                <w:lang w:eastAsia="en-NZ"/>
              </w:rPr>
            </w:pPr>
            <w:r w:rsidRPr="00277BEC">
              <w:rPr>
                <w:i/>
                <w:iCs/>
                <w:lang w:eastAsia="en-NZ"/>
              </w:rPr>
              <w:t>n</w:t>
            </w:r>
          </w:p>
        </w:tc>
        <w:tc>
          <w:tcPr>
            <w:tcW w:w="0" w:type="auto"/>
            <w:shd w:val="clear" w:color="auto" w:fill="auto"/>
            <w:noWrap/>
            <w:vAlign w:val="bottom"/>
          </w:tcPr>
          <w:p w14:paraId="44E190AA" w14:textId="772C59C5" w:rsidR="00897E4D" w:rsidRPr="00277BEC" w:rsidRDefault="00897E4D" w:rsidP="00953A79">
            <w:pPr>
              <w:pStyle w:val="Tabletext"/>
              <w:rPr>
                <w:lang w:eastAsia="en-NZ"/>
              </w:rPr>
            </w:pPr>
            <w:r w:rsidRPr="00277BEC">
              <w:rPr>
                <w:rFonts w:eastAsia="Times New Roman"/>
                <w:color w:val="000000"/>
                <w:lang w:eastAsia="en-NZ"/>
              </w:rPr>
              <w:t>1,541</w:t>
            </w:r>
          </w:p>
        </w:tc>
        <w:tc>
          <w:tcPr>
            <w:tcW w:w="0" w:type="auto"/>
            <w:shd w:val="clear" w:color="auto" w:fill="auto"/>
            <w:noWrap/>
            <w:vAlign w:val="bottom"/>
          </w:tcPr>
          <w:p w14:paraId="1C77A3D3" w14:textId="7B7CC2B7" w:rsidR="00897E4D" w:rsidRPr="00277BEC" w:rsidRDefault="00897E4D" w:rsidP="00953A79">
            <w:pPr>
              <w:pStyle w:val="Tabletext"/>
              <w:rPr>
                <w:lang w:eastAsia="en-NZ"/>
              </w:rPr>
            </w:pPr>
          </w:p>
        </w:tc>
        <w:tc>
          <w:tcPr>
            <w:tcW w:w="0" w:type="auto"/>
            <w:shd w:val="clear" w:color="auto" w:fill="auto"/>
            <w:noWrap/>
            <w:vAlign w:val="bottom"/>
          </w:tcPr>
          <w:p w14:paraId="34D495DE" w14:textId="7C46D2E6" w:rsidR="00897E4D" w:rsidRPr="00277BEC" w:rsidRDefault="00897E4D" w:rsidP="00953A79">
            <w:pPr>
              <w:pStyle w:val="Tabletext"/>
              <w:rPr>
                <w:lang w:eastAsia="en-NZ"/>
              </w:rPr>
            </w:pPr>
            <w:r w:rsidRPr="00277BEC">
              <w:rPr>
                <w:rFonts w:eastAsia="Times New Roman"/>
                <w:color w:val="000000"/>
                <w:lang w:eastAsia="en-NZ"/>
              </w:rPr>
              <w:t>1,088</w:t>
            </w:r>
          </w:p>
        </w:tc>
        <w:tc>
          <w:tcPr>
            <w:tcW w:w="0" w:type="auto"/>
            <w:shd w:val="clear" w:color="auto" w:fill="auto"/>
            <w:noWrap/>
            <w:vAlign w:val="bottom"/>
          </w:tcPr>
          <w:p w14:paraId="5A8632AC" w14:textId="4415BB77" w:rsidR="00897E4D" w:rsidRPr="00277BEC" w:rsidRDefault="00897E4D" w:rsidP="00953A79">
            <w:pPr>
              <w:pStyle w:val="Tabletext"/>
              <w:rPr>
                <w:lang w:eastAsia="en-NZ"/>
              </w:rPr>
            </w:pPr>
          </w:p>
        </w:tc>
      </w:tr>
    </w:tbl>
    <w:p w14:paraId="2C55F3B7" w14:textId="77777777" w:rsidR="002A2DC8" w:rsidRPr="00277BEC" w:rsidRDefault="002A2DC8" w:rsidP="009A337B">
      <w:pPr>
        <w:pStyle w:val="BodyText"/>
        <w:rPr>
          <w:rFonts w:ascii="Arial" w:hAnsi="Arial" w:cs="Arial"/>
        </w:rPr>
      </w:pPr>
    </w:p>
    <w:p w14:paraId="78738E5E" w14:textId="77777777" w:rsidR="002A2DC8" w:rsidRPr="00277BEC" w:rsidRDefault="002A2DC8">
      <w:pPr>
        <w:spacing w:after="0" w:line="240" w:lineRule="auto"/>
        <w:rPr>
          <w:rFonts w:ascii="Arial" w:eastAsia="Times" w:hAnsi="Arial" w:cs="Arial"/>
          <w:szCs w:val="20"/>
        </w:rPr>
      </w:pPr>
      <w:r w:rsidRPr="00277BEC">
        <w:rPr>
          <w:rFonts w:ascii="Arial" w:hAnsi="Arial" w:cs="Arial"/>
        </w:rPr>
        <w:br w:type="page"/>
      </w:r>
    </w:p>
    <w:p w14:paraId="042992A8" w14:textId="66AF0407" w:rsidR="009A337B" w:rsidRPr="00277BEC" w:rsidRDefault="00460603" w:rsidP="009C76BD">
      <w:pPr>
        <w:pStyle w:val="Caption"/>
        <w:rPr>
          <w:rFonts w:cs="Arial"/>
        </w:rPr>
      </w:pPr>
      <w:bookmarkStart w:id="35" w:name="_Toc270604923"/>
      <w:r w:rsidRPr="00277BEC">
        <w:rPr>
          <w:rFonts w:cs="Arial"/>
          <w:b/>
        </w:rPr>
        <w:lastRenderedPageBreak/>
        <w:t xml:space="preserve">Table </w:t>
      </w:r>
      <w:r w:rsidR="00D71DDD" w:rsidRPr="00277BEC">
        <w:rPr>
          <w:rFonts w:cs="Arial"/>
          <w:b/>
        </w:rPr>
        <w:fldChar w:fldCharType="begin"/>
      </w:r>
      <w:r w:rsidRPr="00277BEC">
        <w:rPr>
          <w:rFonts w:cs="Arial"/>
          <w:b/>
        </w:rPr>
        <w:instrText xml:space="preserve"> SEQ Table \* ARABIC </w:instrText>
      </w:r>
      <w:r w:rsidR="00D71DDD" w:rsidRPr="00277BEC">
        <w:rPr>
          <w:rFonts w:cs="Arial"/>
          <w:b/>
        </w:rPr>
        <w:fldChar w:fldCharType="separate"/>
      </w:r>
      <w:r w:rsidR="00277BEC" w:rsidRPr="00277BEC">
        <w:rPr>
          <w:rFonts w:cs="Arial"/>
          <w:b/>
          <w:noProof/>
        </w:rPr>
        <w:t>4</w:t>
      </w:r>
      <w:r w:rsidR="00D71DDD" w:rsidRPr="00277BEC">
        <w:rPr>
          <w:rFonts w:cs="Arial"/>
          <w:b/>
        </w:rPr>
        <w:fldChar w:fldCharType="end"/>
      </w:r>
      <w:r w:rsidRPr="00277BEC">
        <w:rPr>
          <w:rFonts w:cs="Arial"/>
        </w:rPr>
        <w:t xml:space="preserve"> Comparison of the subset of the school sample with </w:t>
      </w:r>
      <w:r w:rsidR="002671E7" w:rsidRPr="00277BEC">
        <w:rPr>
          <w:rFonts w:cs="Arial"/>
        </w:rPr>
        <w:t>Assessment Tool</w:t>
      </w:r>
      <w:r w:rsidRPr="00277BEC">
        <w:rPr>
          <w:rFonts w:cs="Arial"/>
        </w:rPr>
        <w:t xml:space="preserve"> results</w:t>
      </w:r>
      <w:r w:rsidR="002671E7" w:rsidRPr="00277BEC">
        <w:rPr>
          <w:rFonts w:cs="Arial"/>
        </w:rPr>
        <w:t xml:space="preserve"> in numeracy</w:t>
      </w:r>
      <w:r w:rsidRPr="00277BEC">
        <w:rPr>
          <w:rFonts w:cs="Arial"/>
        </w:rPr>
        <w:t>, with national demographic data showing percentages of students in each decile, gender and ethnic category</w:t>
      </w:r>
      <w:r w:rsidR="002671E7" w:rsidRPr="00277BEC">
        <w:rPr>
          <w:rFonts w:cs="Arial"/>
        </w:rPr>
        <w:t>.</w:t>
      </w:r>
      <w:bookmarkEnd w:id="35"/>
    </w:p>
    <w:tbl>
      <w:tblPr>
        <w:tblW w:w="8427"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062"/>
        <w:gridCol w:w="1849"/>
        <w:gridCol w:w="1694"/>
        <w:gridCol w:w="1367"/>
        <w:gridCol w:w="1455"/>
      </w:tblGrid>
      <w:tr w:rsidR="009A337B" w:rsidRPr="00277BEC" w14:paraId="3828F1F3" w14:textId="77777777" w:rsidTr="006E19C5">
        <w:trPr>
          <w:trHeight w:val="900"/>
          <w:tblCellSpacing w:w="20" w:type="dxa"/>
        </w:trPr>
        <w:tc>
          <w:tcPr>
            <w:tcW w:w="1972" w:type="dxa"/>
            <w:shd w:val="clear" w:color="auto" w:fill="auto"/>
            <w:noWrap/>
            <w:vAlign w:val="bottom"/>
            <w:hideMark/>
          </w:tcPr>
          <w:p w14:paraId="49EBD6BA" w14:textId="77777777" w:rsidR="009A337B" w:rsidRPr="00277BEC" w:rsidRDefault="009A337B" w:rsidP="00953A79">
            <w:pPr>
              <w:pStyle w:val="Tabletext"/>
              <w:rPr>
                <w:lang w:eastAsia="en-NZ"/>
              </w:rPr>
            </w:pPr>
            <w:r w:rsidRPr="00277BEC">
              <w:rPr>
                <w:lang w:eastAsia="en-NZ"/>
              </w:rPr>
              <w:t> </w:t>
            </w:r>
          </w:p>
        </w:tc>
        <w:tc>
          <w:tcPr>
            <w:tcW w:w="1779" w:type="dxa"/>
            <w:shd w:val="clear" w:color="auto" w:fill="auto"/>
            <w:vAlign w:val="bottom"/>
            <w:hideMark/>
          </w:tcPr>
          <w:p w14:paraId="7799710A" w14:textId="77777777" w:rsidR="009A337B" w:rsidRPr="00277BEC" w:rsidRDefault="009A337B" w:rsidP="00E84986">
            <w:pPr>
              <w:pStyle w:val="Tabletext"/>
              <w:jc w:val="left"/>
              <w:rPr>
                <w:lang w:eastAsia="en-NZ"/>
              </w:rPr>
            </w:pPr>
            <w:r w:rsidRPr="00277BEC">
              <w:rPr>
                <w:lang w:eastAsia="en-NZ"/>
              </w:rPr>
              <w:t xml:space="preserve"> Sample (Secondary)</w:t>
            </w:r>
          </w:p>
        </w:tc>
        <w:tc>
          <w:tcPr>
            <w:tcW w:w="0" w:type="auto"/>
            <w:shd w:val="clear" w:color="auto" w:fill="auto"/>
            <w:vAlign w:val="bottom"/>
            <w:hideMark/>
          </w:tcPr>
          <w:p w14:paraId="549273CF" w14:textId="77777777" w:rsidR="009A337B" w:rsidRPr="00277BEC" w:rsidRDefault="009A337B" w:rsidP="00E84986">
            <w:pPr>
              <w:pStyle w:val="Tabletext"/>
              <w:jc w:val="left"/>
              <w:rPr>
                <w:lang w:eastAsia="en-NZ"/>
              </w:rPr>
            </w:pPr>
            <w:r w:rsidRPr="00277BEC">
              <w:rPr>
                <w:lang w:eastAsia="en-NZ"/>
              </w:rPr>
              <w:t>National (Secondary)</w:t>
            </w:r>
          </w:p>
        </w:tc>
        <w:tc>
          <w:tcPr>
            <w:tcW w:w="0" w:type="auto"/>
            <w:shd w:val="clear" w:color="auto" w:fill="auto"/>
            <w:vAlign w:val="bottom"/>
            <w:hideMark/>
          </w:tcPr>
          <w:p w14:paraId="1171AAB0" w14:textId="77777777" w:rsidR="009A337B" w:rsidRPr="00277BEC" w:rsidRDefault="009A337B" w:rsidP="00E84986">
            <w:pPr>
              <w:pStyle w:val="Tabletext"/>
              <w:jc w:val="left"/>
              <w:rPr>
                <w:lang w:eastAsia="en-NZ"/>
              </w:rPr>
            </w:pPr>
            <w:r w:rsidRPr="00277BEC">
              <w:rPr>
                <w:lang w:eastAsia="en-NZ"/>
              </w:rPr>
              <w:t>Year 8 (Sample)</w:t>
            </w:r>
          </w:p>
        </w:tc>
        <w:tc>
          <w:tcPr>
            <w:tcW w:w="0" w:type="auto"/>
            <w:shd w:val="clear" w:color="auto" w:fill="auto"/>
            <w:vAlign w:val="bottom"/>
            <w:hideMark/>
          </w:tcPr>
          <w:p w14:paraId="50ADD749" w14:textId="77777777" w:rsidR="009A337B" w:rsidRPr="00277BEC" w:rsidRDefault="009A337B" w:rsidP="00E84986">
            <w:pPr>
              <w:pStyle w:val="Tabletext"/>
              <w:jc w:val="left"/>
              <w:rPr>
                <w:lang w:eastAsia="en-NZ"/>
              </w:rPr>
            </w:pPr>
            <w:r w:rsidRPr="00277BEC">
              <w:rPr>
                <w:lang w:eastAsia="en-NZ"/>
              </w:rPr>
              <w:t>National (primary)</w:t>
            </w:r>
          </w:p>
        </w:tc>
      </w:tr>
      <w:tr w:rsidR="00897E4D" w:rsidRPr="00277BEC" w14:paraId="405BDD09" w14:textId="77777777" w:rsidTr="006E19C5">
        <w:trPr>
          <w:trHeight w:val="300"/>
          <w:tblCellSpacing w:w="20" w:type="dxa"/>
        </w:trPr>
        <w:tc>
          <w:tcPr>
            <w:tcW w:w="1972" w:type="dxa"/>
            <w:tcBorders>
              <w:bottom w:val="nil"/>
            </w:tcBorders>
            <w:shd w:val="clear" w:color="auto" w:fill="auto"/>
            <w:noWrap/>
            <w:vAlign w:val="bottom"/>
            <w:hideMark/>
          </w:tcPr>
          <w:p w14:paraId="691F0BBD" w14:textId="059C0941" w:rsidR="00897E4D" w:rsidRPr="00277BEC" w:rsidRDefault="00897E4D" w:rsidP="006E19C5">
            <w:pPr>
              <w:pStyle w:val="Tabletext"/>
              <w:rPr>
                <w:lang w:eastAsia="en-NZ"/>
              </w:rPr>
            </w:pPr>
            <w:r w:rsidRPr="00277BEC">
              <w:rPr>
                <w:lang w:eastAsia="en-NZ"/>
              </w:rPr>
              <w:t>Female</w:t>
            </w:r>
          </w:p>
        </w:tc>
        <w:tc>
          <w:tcPr>
            <w:tcW w:w="1779" w:type="dxa"/>
            <w:shd w:val="clear" w:color="auto" w:fill="auto"/>
            <w:noWrap/>
            <w:vAlign w:val="bottom"/>
          </w:tcPr>
          <w:p w14:paraId="67123876" w14:textId="4E1BAD3F" w:rsidR="00897E4D" w:rsidRPr="00277BEC" w:rsidRDefault="00897E4D" w:rsidP="00953A79">
            <w:pPr>
              <w:pStyle w:val="Tabletext"/>
              <w:rPr>
                <w:lang w:eastAsia="en-NZ"/>
              </w:rPr>
            </w:pPr>
            <w:r w:rsidRPr="00277BEC">
              <w:rPr>
                <w:rFonts w:eastAsia="Times New Roman"/>
                <w:color w:val="000000"/>
                <w:lang w:eastAsia="en-NZ"/>
              </w:rPr>
              <w:t>52.3</w:t>
            </w:r>
          </w:p>
        </w:tc>
        <w:tc>
          <w:tcPr>
            <w:tcW w:w="0" w:type="auto"/>
            <w:shd w:val="clear" w:color="auto" w:fill="auto"/>
            <w:noWrap/>
            <w:vAlign w:val="bottom"/>
          </w:tcPr>
          <w:p w14:paraId="410CE8CC" w14:textId="16D2314A" w:rsidR="00897E4D" w:rsidRPr="00277BEC" w:rsidRDefault="00897E4D" w:rsidP="00953A79">
            <w:pPr>
              <w:pStyle w:val="Tabletext"/>
              <w:rPr>
                <w:lang w:eastAsia="en-NZ"/>
              </w:rPr>
            </w:pPr>
            <w:r w:rsidRPr="00277BEC">
              <w:rPr>
                <w:rFonts w:eastAsia="Times New Roman"/>
                <w:color w:val="000000"/>
                <w:lang w:eastAsia="en-NZ"/>
              </w:rPr>
              <w:t>49.9</w:t>
            </w:r>
          </w:p>
        </w:tc>
        <w:tc>
          <w:tcPr>
            <w:tcW w:w="0" w:type="auto"/>
            <w:shd w:val="clear" w:color="auto" w:fill="auto"/>
            <w:noWrap/>
            <w:vAlign w:val="bottom"/>
          </w:tcPr>
          <w:p w14:paraId="274BC376" w14:textId="18B9B0D6" w:rsidR="00897E4D" w:rsidRPr="00277BEC" w:rsidRDefault="00897E4D" w:rsidP="00953A79">
            <w:pPr>
              <w:pStyle w:val="Tabletext"/>
              <w:rPr>
                <w:lang w:eastAsia="en-NZ"/>
              </w:rPr>
            </w:pPr>
            <w:r w:rsidRPr="00277BEC">
              <w:rPr>
                <w:rFonts w:eastAsia="Times New Roman"/>
                <w:color w:val="000000"/>
                <w:lang w:eastAsia="en-NZ"/>
              </w:rPr>
              <w:t>52.2</w:t>
            </w:r>
          </w:p>
        </w:tc>
        <w:tc>
          <w:tcPr>
            <w:tcW w:w="0" w:type="auto"/>
            <w:shd w:val="clear" w:color="auto" w:fill="auto"/>
            <w:noWrap/>
            <w:vAlign w:val="bottom"/>
          </w:tcPr>
          <w:p w14:paraId="2096482E" w14:textId="26C1CA20" w:rsidR="00897E4D" w:rsidRPr="00277BEC" w:rsidRDefault="00897E4D" w:rsidP="00953A79">
            <w:pPr>
              <w:pStyle w:val="Tabletext"/>
              <w:rPr>
                <w:lang w:eastAsia="en-NZ"/>
              </w:rPr>
            </w:pPr>
            <w:r w:rsidRPr="00277BEC">
              <w:rPr>
                <w:rFonts w:eastAsia="Times New Roman"/>
                <w:color w:val="000000"/>
                <w:lang w:eastAsia="en-NZ"/>
              </w:rPr>
              <w:t>51.4</w:t>
            </w:r>
          </w:p>
        </w:tc>
      </w:tr>
      <w:tr w:rsidR="00897E4D" w:rsidRPr="00277BEC" w14:paraId="3414C866" w14:textId="77777777" w:rsidTr="006E19C5">
        <w:trPr>
          <w:trHeight w:val="300"/>
          <w:tblCellSpacing w:w="20" w:type="dxa"/>
        </w:trPr>
        <w:tc>
          <w:tcPr>
            <w:tcW w:w="1972" w:type="dxa"/>
            <w:tcBorders>
              <w:top w:val="nil"/>
            </w:tcBorders>
            <w:shd w:val="clear" w:color="auto" w:fill="auto"/>
            <w:noWrap/>
            <w:vAlign w:val="bottom"/>
            <w:hideMark/>
          </w:tcPr>
          <w:p w14:paraId="1F3B7152" w14:textId="2FA6B58F" w:rsidR="00897E4D" w:rsidRPr="00277BEC" w:rsidRDefault="00897E4D" w:rsidP="00953A79">
            <w:pPr>
              <w:pStyle w:val="Tabletext"/>
              <w:rPr>
                <w:lang w:eastAsia="en-NZ"/>
              </w:rPr>
            </w:pPr>
            <w:r w:rsidRPr="00277BEC">
              <w:rPr>
                <w:lang w:eastAsia="en-NZ"/>
              </w:rPr>
              <w:t>Male</w:t>
            </w:r>
          </w:p>
        </w:tc>
        <w:tc>
          <w:tcPr>
            <w:tcW w:w="1779" w:type="dxa"/>
            <w:shd w:val="clear" w:color="auto" w:fill="auto"/>
            <w:noWrap/>
            <w:vAlign w:val="bottom"/>
          </w:tcPr>
          <w:p w14:paraId="46772277" w14:textId="7373F2EE" w:rsidR="00897E4D" w:rsidRPr="00277BEC" w:rsidRDefault="00897E4D" w:rsidP="00953A79">
            <w:pPr>
              <w:pStyle w:val="Tabletext"/>
              <w:rPr>
                <w:lang w:eastAsia="en-NZ"/>
              </w:rPr>
            </w:pPr>
            <w:r w:rsidRPr="00277BEC">
              <w:rPr>
                <w:rFonts w:eastAsia="Times New Roman"/>
                <w:color w:val="000000"/>
                <w:lang w:eastAsia="en-NZ"/>
              </w:rPr>
              <w:t>47.7</w:t>
            </w:r>
          </w:p>
        </w:tc>
        <w:tc>
          <w:tcPr>
            <w:tcW w:w="0" w:type="auto"/>
            <w:shd w:val="clear" w:color="auto" w:fill="auto"/>
            <w:noWrap/>
            <w:vAlign w:val="bottom"/>
          </w:tcPr>
          <w:p w14:paraId="63721A9A" w14:textId="423B9556" w:rsidR="00897E4D" w:rsidRPr="00277BEC" w:rsidRDefault="00897E4D" w:rsidP="00953A79">
            <w:pPr>
              <w:pStyle w:val="Tabletext"/>
              <w:rPr>
                <w:lang w:eastAsia="en-NZ"/>
              </w:rPr>
            </w:pPr>
            <w:r w:rsidRPr="00277BEC">
              <w:rPr>
                <w:rFonts w:eastAsia="Times New Roman"/>
                <w:color w:val="000000"/>
                <w:lang w:eastAsia="en-NZ"/>
              </w:rPr>
              <w:t>50.1</w:t>
            </w:r>
          </w:p>
        </w:tc>
        <w:tc>
          <w:tcPr>
            <w:tcW w:w="0" w:type="auto"/>
            <w:shd w:val="clear" w:color="auto" w:fill="auto"/>
            <w:noWrap/>
            <w:vAlign w:val="bottom"/>
          </w:tcPr>
          <w:p w14:paraId="2B736AF3" w14:textId="02DCEE45" w:rsidR="00897E4D" w:rsidRPr="00277BEC" w:rsidRDefault="00897E4D" w:rsidP="00953A79">
            <w:pPr>
              <w:pStyle w:val="Tabletext"/>
              <w:rPr>
                <w:lang w:eastAsia="en-NZ"/>
              </w:rPr>
            </w:pPr>
            <w:r w:rsidRPr="00277BEC">
              <w:rPr>
                <w:rFonts w:eastAsia="Times New Roman"/>
                <w:color w:val="000000"/>
                <w:lang w:eastAsia="en-NZ"/>
              </w:rPr>
              <w:t>47.8</w:t>
            </w:r>
          </w:p>
        </w:tc>
        <w:tc>
          <w:tcPr>
            <w:tcW w:w="0" w:type="auto"/>
            <w:shd w:val="clear" w:color="auto" w:fill="auto"/>
            <w:noWrap/>
            <w:vAlign w:val="bottom"/>
          </w:tcPr>
          <w:p w14:paraId="05DAC06D" w14:textId="70AD815D" w:rsidR="00897E4D" w:rsidRPr="00277BEC" w:rsidRDefault="00897E4D" w:rsidP="00953A79">
            <w:pPr>
              <w:pStyle w:val="Tabletext"/>
              <w:rPr>
                <w:lang w:eastAsia="en-NZ"/>
              </w:rPr>
            </w:pPr>
            <w:r w:rsidRPr="00277BEC">
              <w:rPr>
                <w:rFonts w:eastAsia="Times New Roman"/>
                <w:color w:val="000000"/>
                <w:lang w:eastAsia="en-NZ"/>
              </w:rPr>
              <w:t>48.6</w:t>
            </w:r>
          </w:p>
        </w:tc>
      </w:tr>
      <w:tr w:rsidR="00897E4D" w:rsidRPr="00277BEC" w14:paraId="79C9F555" w14:textId="77777777" w:rsidTr="006E19C5">
        <w:trPr>
          <w:trHeight w:val="300"/>
          <w:tblCellSpacing w:w="20" w:type="dxa"/>
        </w:trPr>
        <w:tc>
          <w:tcPr>
            <w:tcW w:w="1972" w:type="dxa"/>
            <w:tcBorders>
              <w:bottom w:val="nil"/>
            </w:tcBorders>
            <w:shd w:val="clear" w:color="auto" w:fill="auto"/>
            <w:noWrap/>
            <w:vAlign w:val="bottom"/>
            <w:hideMark/>
          </w:tcPr>
          <w:p w14:paraId="4A95B570" w14:textId="52C517E8" w:rsidR="00897E4D" w:rsidRPr="00277BEC" w:rsidRDefault="00897E4D" w:rsidP="00953A79">
            <w:pPr>
              <w:pStyle w:val="Tabletext"/>
              <w:rPr>
                <w:lang w:eastAsia="en-NZ"/>
              </w:rPr>
            </w:pPr>
            <w:r w:rsidRPr="00277BEC">
              <w:rPr>
                <w:lang w:eastAsia="en-NZ"/>
              </w:rPr>
              <w:t>Asian</w:t>
            </w:r>
          </w:p>
        </w:tc>
        <w:tc>
          <w:tcPr>
            <w:tcW w:w="1779" w:type="dxa"/>
            <w:shd w:val="clear" w:color="auto" w:fill="auto"/>
            <w:noWrap/>
            <w:vAlign w:val="bottom"/>
          </w:tcPr>
          <w:p w14:paraId="6C5E59B5" w14:textId="6E330DCC" w:rsidR="00897E4D" w:rsidRPr="00277BEC" w:rsidRDefault="00897E4D" w:rsidP="00953A79">
            <w:pPr>
              <w:pStyle w:val="Tabletext"/>
              <w:rPr>
                <w:lang w:eastAsia="en-NZ"/>
              </w:rPr>
            </w:pPr>
            <w:r w:rsidRPr="00277BEC">
              <w:rPr>
                <w:rFonts w:eastAsia="Times New Roman"/>
                <w:color w:val="000000"/>
                <w:lang w:eastAsia="en-NZ"/>
              </w:rPr>
              <w:t>10.9</w:t>
            </w:r>
          </w:p>
        </w:tc>
        <w:tc>
          <w:tcPr>
            <w:tcW w:w="0" w:type="auto"/>
            <w:shd w:val="clear" w:color="auto" w:fill="auto"/>
            <w:noWrap/>
            <w:vAlign w:val="bottom"/>
          </w:tcPr>
          <w:p w14:paraId="7AA474A7" w14:textId="37A5483E" w:rsidR="00897E4D" w:rsidRPr="00277BEC" w:rsidRDefault="00897E4D" w:rsidP="00953A79">
            <w:pPr>
              <w:pStyle w:val="Tabletext"/>
              <w:rPr>
                <w:lang w:eastAsia="en-NZ"/>
              </w:rPr>
            </w:pPr>
            <w:r w:rsidRPr="00277BEC">
              <w:rPr>
                <w:rFonts w:eastAsia="Times New Roman"/>
                <w:color w:val="000000"/>
                <w:lang w:eastAsia="en-NZ"/>
              </w:rPr>
              <w:t>10.7</w:t>
            </w:r>
          </w:p>
        </w:tc>
        <w:tc>
          <w:tcPr>
            <w:tcW w:w="0" w:type="auto"/>
            <w:shd w:val="clear" w:color="auto" w:fill="auto"/>
            <w:noWrap/>
            <w:vAlign w:val="bottom"/>
          </w:tcPr>
          <w:p w14:paraId="121C2D45" w14:textId="5AD1332F" w:rsidR="00897E4D" w:rsidRPr="00277BEC" w:rsidRDefault="00897E4D" w:rsidP="00953A79">
            <w:pPr>
              <w:pStyle w:val="Tabletext"/>
              <w:rPr>
                <w:lang w:eastAsia="en-NZ"/>
              </w:rPr>
            </w:pPr>
            <w:r w:rsidRPr="00277BEC">
              <w:rPr>
                <w:rFonts w:eastAsia="Times New Roman"/>
                <w:color w:val="000000"/>
                <w:lang w:eastAsia="en-NZ"/>
              </w:rPr>
              <w:t>6.3</w:t>
            </w:r>
          </w:p>
        </w:tc>
        <w:tc>
          <w:tcPr>
            <w:tcW w:w="0" w:type="auto"/>
            <w:shd w:val="clear" w:color="auto" w:fill="auto"/>
            <w:noWrap/>
            <w:vAlign w:val="bottom"/>
          </w:tcPr>
          <w:p w14:paraId="5E017A9E" w14:textId="26A588EA" w:rsidR="00897E4D" w:rsidRPr="00277BEC" w:rsidRDefault="00897E4D" w:rsidP="00953A79">
            <w:pPr>
              <w:pStyle w:val="Tabletext"/>
              <w:rPr>
                <w:lang w:eastAsia="en-NZ"/>
              </w:rPr>
            </w:pPr>
            <w:r w:rsidRPr="00277BEC">
              <w:rPr>
                <w:rFonts w:eastAsia="Times New Roman"/>
                <w:color w:val="000000"/>
                <w:lang w:eastAsia="en-NZ"/>
              </w:rPr>
              <w:t>9.3</w:t>
            </w:r>
          </w:p>
        </w:tc>
      </w:tr>
      <w:tr w:rsidR="00897E4D" w:rsidRPr="00277BEC" w14:paraId="5BC2207E" w14:textId="77777777" w:rsidTr="006E19C5">
        <w:trPr>
          <w:trHeight w:val="300"/>
          <w:tblCellSpacing w:w="20" w:type="dxa"/>
        </w:trPr>
        <w:tc>
          <w:tcPr>
            <w:tcW w:w="1972" w:type="dxa"/>
            <w:tcBorders>
              <w:top w:val="nil"/>
              <w:bottom w:val="nil"/>
            </w:tcBorders>
            <w:shd w:val="clear" w:color="auto" w:fill="auto"/>
            <w:noWrap/>
            <w:vAlign w:val="bottom"/>
            <w:hideMark/>
          </w:tcPr>
          <w:p w14:paraId="53D5BA55" w14:textId="741A04F5" w:rsidR="00897E4D" w:rsidRPr="00277BEC" w:rsidRDefault="00897E4D" w:rsidP="006E19C5">
            <w:pPr>
              <w:pStyle w:val="Tabletext"/>
              <w:rPr>
                <w:lang w:eastAsia="en-NZ"/>
              </w:rPr>
            </w:pPr>
            <w:r w:rsidRPr="00277BEC">
              <w:rPr>
                <w:lang w:eastAsia="en-NZ"/>
              </w:rPr>
              <w:t>NZ European</w:t>
            </w:r>
          </w:p>
        </w:tc>
        <w:tc>
          <w:tcPr>
            <w:tcW w:w="1779" w:type="dxa"/>
            <w:shd w:val="clear" w:color="auto" w:fill="auto"/>
            <w:noWrap/>
            <w:vAlign w:val="bottom"/>
          </w:tcPr>
          <w:p w14:paraId="495A43D7" w14:textId="37822FA2" w:rsidR="00897E4D" w:rsidRPr="00277BEC" w:rsidRDefault="00897E4D" w:rsidP="00953A79">
            <w:pPr>
              <w:pStyle w:val="Tabletext"/>
              <w:rPr>
                <w:lang w:eastAsia="en-NZ"/>
              </w:rPr>
            </w:pPr>
            <w:r w:rsidRPr="00277BEC">
              <w:rPr>
                <w:rFonts w:eastAsia="Times New Roman"/>
                <w:color w:val="000000"/>
                <w:lang w:eastAsia="en-NZ"/>
              </w:rPr>
              <w:t>55.2</w:t>
            </w:r>
          </w:p>
        </w:tc>
        <w:tc>
          <w:tcPr>
            <w:tcW w:w="0" w:type="auto"/>
            <w:shd w:val="clear" w:color="auto" w:fill="auto"/>
            <w:noWrap/>
            <w:vAlign w:val="bottom"/>
          </w:tcPr>
          <w:p w14:paraId="26E97DB4" w14:textId="186A1D4A" w:rsidR="00897E4D" w:rsidRPr="00277BEC" w:rsidRDefault="00897E4D" w:rsidP="00953A79">
            <w:pPr>
              <w:pStyle w:val="Tabletext"/>
              <w:rPr>
                <w:lang w:eastAsia="en-NZ"/>
              </w:rPr>
            </w:pPr>
            <w:r w:rsidRPr="00277BEC">
              <w:rPr>
                <w:rFonts w:eastAsia="Times New Roman"/>
                <w:color w:val="000000"/>
                <w:lang w:eastAsia="en-NZ"/>
              </w:rPr>
              <w:t>54.4</w:t>
            </w:r>
          </w:p>
        </w:tc>
        <w:tc>
          <w:tcPr>
            <w:tcW w:w="0" w:type="auto"/>
            <w:shd w:val="clear" w:color="auto" w:fill="auto"/>
            <w:noWrap/>
            <w:vAlign w:val="bottom"/>
          </w:tcPr>
          <w:p w14:paraId="668819C3" w14:textId="39F265A4" w:rsidR="00897E4D" w:rsidRPr="00277BEC" w:rsidRDefault="00897E4D" w:rsidP="00953A79">
            <w:pPr>
              <w:pStyle w:val="Tabletext"/>
              <w:rPr>
                <w:lang w:eastAsia="en-NZ"/>
              </w:rPr>
            </w:pPr>
            <w:r w:rsidRPr="00277BEC">
              <w:rPr>
                <w:rFonts w:eastAsia="Times New Roman"/>
                <w:color w:val="000000"/>
                <w:lang w:eastAsia="en-NZ"/>
              </w:rPr>
              <w:t>69.9</w:t>
            </w:r>
          </w:p>
        </w:tc>
        <w:tc>
          <w:tcPr>
            <w:tcW w:w="0" w:type="auto"/>
            <w:shd w:val="clear" w:color="auto" w:fill="auto"/>
            <w:noWrap/>
            <w:vAlign w:val="bottom"/>
          </w:tcPr>
          <w:p w14:paraId="0E513099" w14:textId="2332228A" w:rsidR="00897E4D" w:rsidRPr="00277BEC" w:rsidRDefault="00897E4D" w:rsidP="00953A79">
            <w:pPr>
              <w:pStyle w:val="Tabletext"/>
              <w:rPr>
                <w:lang w:eastAsia="en-NZ"/>
              </w:rPr>
            </w:pPr>
            <w:r w:rsidRPr="00277BEC">
              <w:rPr>
                <w:rFonts w:eastAsia="Times New Roman"/>
                <w:color w:val="000000"/>
                <w:lang w:eastAsia="en-NZ"/>
              </w:rPr>
              <w:t>54.2</w:t>
            </w:r>
          </w:p>
        </w:tc>
      </w:tr>
      <w:tr w:rsidR="00897E4D" w:rsidRPr="00277BEC" w14:paraId="2B208288" w14:textId="77777777" w:rsidTr="006E19C5">
        <w:trPr>
          <w:trHeight w:val="300"/>
          <w:tblCellSpacing w:w="20" w:type="dxa"/>
        </w:trPr>
        <w:tc>
          <w:tcPr>
            <w:tcW w:w="1972" w:type="dxa"/>
            <w:tcBorders>
              <w:top w:val="nil"/>
              <w:bottom w:val="nil"/>
            </w:tcBorders>
            <w:shd w:val="clear" w:color="auto" w:fill="auto"/>
            <w:noWrap/>
            <w:vAlign w:val="bottom"/>
            <w:hideMark/>
          </w:tcPr>
          <w:p w14:paraId="4165637B" w14:textId="35B4D107" w:rsidR="00897E4D" w:rsidRPr="00277BEC" w:rsidRDefault="00897E4D" w:rsidP="006E19C5">
            <w:pPr>
              <w:pStyle w:val="Tabletext"/>
              <w:rPr>
                <w:lang w:eastAsia="en-NZ"/>
              </w:rPr>
            </w:pPr>
            <w:r w:rsidRPr="00277BEC">
              <w:rPr>
                <w:lang w:eastAsia="en-NZ"/>
              </w:rPr>
              <w:t>NZ Māori</w:t>
            </w:r>
          </w:p>
        </w:tc>
        <w:tc>
          <w:tcPr>
            <w:tcW w:w="1779" w:type="dxa"/>
            <w:shd w:val="clear" w:color="auto" w:fill="auto"/>
            <w:noWrap/>
            <w:vAlign w:val="bottom"/>
          </w:tcPr>
          <w:p w14:paraId="69A63A20" w14:textId="5563D96E" w:rsidR="00897E4D" w:rsidRPr="00277BEC" w:rsidRDefault="00897E4D" w:rsidP="00953A79">
            <w:pPr>
              <w:pStyle w:val="Tabletext"/>
              <w:rPr>
                <w:lang w:eastAsia="en-NZ"/>
              </w:rPr>
            </w:pPr>
            <w:r w:rsidRPr="00277BEC">
              <w:rPr>
                <w:rFonts w:eastAsia="Times New Roman"/>
                <w:color w:val="000000"/>
                <w:lang w:eastAsia="en-NZ"/>
              </w:rPr>
              <w:t>12.1</w:t>
            </w:r>
          </w:p>
        </w:tc>
        <w:tc>
          <w:tcPr>
            <w:tcW w:w="0" w:type="auto"/>
            <w:shd w:val="clear" w:color="auto" w:fill="auto"/>
            <w:noWrap/>
            <w:vAlign w:val="bottom"/>
          </w:tcPr>
          <w:p w14:paraId="2910D2AA" w14:textId="72992DDF" w:rsidR="00897E4D" w:rsidRPr="00277BEC" w:rsidRDefault="00897E4D" w:rsidP="00953A79">
            <w:pPr>
              <w:pStyle w:val="Tabletext"/>
              <w:rPr>
                <w:lang w:eastAsia="en-NZ"/>
              </w:rPr>
            </w:pPr>
            <w:r w:rsidRPr="00277BEC">
              <w:rPr>
                <w:rFonts w:eastAsia="Times New Roman"/>
                <w:color w:val="000000"/>
                <w:lang w:eastAsia="en-NZ"/>
              </w:rPr>
              <w:t>18.4</w:t>
            </w:r>
          </w:p>
        </w:tc>
        <w:tc>
          <w:tcPr>
            <w:tcW w:w="0" w:type="auto"/>
            <w:shd w:val="clear" w:color="auto" w:fill="auto"/>
            <w:noWrap/>
            <w:vAlign w:val="bottom"/>
          </w:tcPr>
          <w:p w14:paraId="056E92F6" w14:textId="7981A6D7" w:rsidR="00897E4D" w:rsidRPr="00277BEC" w:rsidRDefault="00897E4D" w:rsidP="00953A79">
            <w:pPr>
              <w:pStyle w:val="Tabletext"/>
              <w:rPr>
                <w:lang w:eastAsia="en-NZ"/>
              </w:rPr>
            </w:pPr>
            <w:r w:rsidRPr="00277BEC">
              <w:rPr>
                <w:rFonts w:eastAsia="Times New Roman"/>
                <w:color w:val="000000"/>
                <w:lang w:eastAsia="en-NZ"/>
              </w:rPr>
              <w:t>10.0</w:t>
            </w:r>
          </w:p>
        </w:tc>
        <w:tc>
          <w:tcPr>
            <w:tcW w:w="0" w:type="auto"/>
            <w:shd w:val="clear" w:color="auto" w:fill="auto"/>
            <w:noWrap/>
            <w:vAlign w:val="bottom"/>
          </w:tcPr>
          <w:p w14:paraId="7E089A9D" w14:textId="7DEA766B" w:rsidR="00897E4D" w:rsidRPr="00277BEC" w:rsidRDefault="00897E4D" w:rsidP="00953A79">
            <w:pPr>
              <w:pStyle w:val="Tabletext"/>
              <w:rPr>
                <w:lang w:eastAsia="en-NZ"/>
              </w:rPr>
            </w:pPr>
            <w:r w:rsidRPr="00277BEC">
              <w:rPr>
                <w:rFonts w:eastAsia="Times New Roman"/>
                <w:color w:val="000000"/>
                <w:lang w:eastAsia="en-NZ"/>
              </w:rPr>
              <w:t>23.7</w:t>
            </w:r>
          </w:p>
        </w:tc>
      </w:tr>
      <w:tr w:rsidR="00897E4D" w:rsidRPr="00277BEC" w14:paraId="43A4C543" w14:textId="77777777" w:rsidTr="006E19C5">
        <w:trPr>
          <w:trHeight w:val="300"/>
          <w:tblCellSpacing w:w="20" w:type="dxa"/>
        </w:trPr>
        <w:tc>
          <w:tcPr>
            <w:tcW w:w="1972" w:type="dxa"/>
            <w:tcBorders>
              <w:top w:val="nil"/>
              <w:bottom w:val="nil"/>
            </w:tcBorders>
            <w:shd w:val="clear" w:color="auto" w:fill="auto"/>
            <w:noWrap/>
            <w:vAlign w:val="bottom"/>
            <w:hideMark/>
          </w:tcPr>
          <w:p w14:paraId="193C5AE0" w14:textId="3CA62E33" w:rsidR="00897E4D" w:rsidRPr="00277BEC" w:rsidRDefault="00897E4D" w:rsidP="006E19C5">
            <w:pPr>
              <w:pStyle w:val="Tabletext"/>
              <w:rPr>
                <w:lang w:eastAsia="en-NZ"/>
              </w:rPr>
            </w:pPr>
            <w:r w:rsidRPr="00277BEC">
              <w:rPr>
                <w:lang w:eastAsia="en-NZ"/>
              </w:rPr>
              <w:t>Pasifika</w:t>
            </w:r>
          </w:p>
        </w:tc>
        <w:tc>
          <w:tcPr>
            <w:tcW w:w="1779" w:type="dxa"/>
            <w:shd w:val="clear" w:color="auto" w:fill="auto"/>
            <w:noWrap/>
            <w:vAlign w:val="bottom"/>
          </w:tcPr>
          <w:p w14:paraId="3B76F115" w14:textId="26CDF1DD" w:rsidR="00897E4D" w:rsidRPr="00277BEC" w:rsidRDefault="00897E4D" w:rsidP="00953A79">
            <w:pPr>
              <w:pStyle w:val="Tabletext"/>
              <w:rPr>
                <w:lang w:eastAsia="en-NZ"/>
              </w:rPr>
            </w:pPr>
            <w:r w:rsidRPr="00277BEC">
              <w:rPr>
                <w:rFonts w:eastAsia="Times New Roman"/>
                <w:color w:val="000000"/>
                <w:lang w:eastAsia="en-NZ"/>
              </w:rPr>
              <w:t>15.3</w:t>
            </w:r>
          </w:p>
        </w:tc>
        <w:tc>
          <w:tcPr>
            <w:tcW w:w="0" w:type="auto"/>
            <w:shd w:val="clear" w:color="auto" w:fill="auto"/>
            <w:noWrap/>
            <w:vAlign w:val="bottom"/>
          </w:tcPr>
          <w:p w14:paraId="5D0B84D3" w14:textId="45C48307" w:rsidR="00897E4D" w:rsidRPr="00277BEC" w:rsidRDefault="00897E4D" w:rsidP="00953A79">
            <w:pPr>
              <w:pStyle w:val="Tabletext"/>
              <w:rPr>
                <w:lang w:eastAsia="en-NZ"/>
              </w:rPr>
            </w:pPr>
            <w:r w:rsidRPr="00277BEC">
              <w:rPr>
                <w:rFonts w:eastAsia="Times New Roman"/>
                <w:color w:val="000000"/>
                <w:lang w:eastAsia="en-NZ"/>
              </w:rPr>
              <w:t>9.1</w:t>
            </w:r>
          </w:p>
        </w:tc>
        <w:tc>
          <w:tcPr>
            <w:tcW w:w="0" w:type="auto"/>
            <w:shd w:val="clear" w:color="auto" w:fill="auto"/>
            <w:noWrap/>
            <w:vAlign w:val="bottom"/>
          </w:tcPr>
          <w:p w14:paraId="1DF37676" w14:textId="1EE371EC" w:rsidR="00897E4D" w:rsidRPr="00277BEC" w:rsidRDefault="00897E4D" w:rsidP="00953A79">
            <w:pPr>
              <w:pStyle w:val="Tabletext"/>
              <w:rPr>
                <w:lang w:eastAsia="en-NZ"/>
              </w:rPr>
            </w:pPr>
            <w:r w:rsidRPr="00277BEC">
              <w:rPr>
                <w:rFonts w:eastAsia="Times New Roman"/>
                <w:color w:val="000000"/>
                <w:lang w:eastAsia="en-NZ"/>
              </w:rPr>
              <w:t>5.0</w:t>
            </w:r>
          </w:p>
        </w:tc>
        <w:tc>
          <w:tcPr>
            <w:tcW w:w="0" w:type="auto"/>
            <w:shd w:val="clear" w:color="auto" w:fill="auto"/>
            <w:noWrap/>
            <w:vAlign w:val="bottom"/>
          </w:tcPr>
          <w:p w14:paraId="20143E3F" w14:textId="16961E10" w:rsidR="00897E4D" w:rsidRPr="00277BEC" w:rsidRDefault="00897E4D" w:rsidP="00953A79">
            <w:pPr>
              <w:pStyle w:val="Tabletext"/>
              <w:rPr>
                <w:lang w:eastAsia="en-NZ"/>
              </w:rPr>
            </w:pPr>
            <w:r w:rsidRPr="00277BEC">
              <w:rPr>
                <w:rFonts w:eastAsia="Times New Roman"/>
                <w:color w:val="000000"/>
                <w:lang w:eastAsia="en-NZ"/>
              </w:rPr>
              <w:t>9.9</w:t>
            </w:r>
          </w:p>
        </w:tc>
      </w:tr>
      <w:tr w:rsidR="00897E4D" w:rsidRPr="00277BEC" w14:paraId="49BDB2C7" w14:textId="77777777" w:rsidTr="006E19C5">
        <w:trPr>
          <w:trHeight w:val="300"/>
          <w:tblCellSpacing w:w="20" w:type="dxa"/>
        </w:trPr>
        <w:tc>
          <w:tcPr>
            <w:tcW w:w="1972" w:type="dxa"/>
            <w:tcBorders>
              <w:top w:val="nil"/>
            </w:tcBorders>
            <w:shd w:val="clear" w:color="auto" w:fill="auto"/>
            <w:noWrap/>
            <w:vAlign w:val="bottom"/>
            <w:hideMark/>
          </w:tcPr>
          <w:p w14:paraId="23307508" w14:textId="24AF43B2" w:rsidR="00897E4D" w:rsidRPr="00277BEC" w:rsidRDefault="00897E4D" w:rsidP="00953A79">
            <w:pPr>
              <w:pStyle w:val="Tabletext"/>
              <w:rPr>
                <w:lang w:eastAsia="en-NZ"/>
              </w:rPr>
            </w:pPr>
            <w:r w:rsidRPr="00277BEC">
              <w:rPr>
                <w:lang w:eastAsia="en-NZ"/>
              </w:rPr>
              <w:t>Other</w:t>
            </w:r>
          </w:p>
        </w:tc>
        <w:tc>
          <w:tcPr>
            <w:tcW w:w="1779" w:type="dxa"/>
            <w:shd w:val="clear" w:color="auto" w:fill="auto"/>
            <w:noWrap/>
            <w:vAlign w:val="bottom"/>
          </w:tcPr>
          <w:p w14:paraId="150677A5" w14:textId="180C0F8D" w:rsidR="00897E4D" w:rsidRPr="00277BEC" w:rsidRDefault="00897E4D" w:rsidP="00953A79">
            <w:pPr>
              <w:pStyle w:val="Tabletext"/>
              <w:rPr>
                <w:lang w:eastAsia="en-NZ"/>
              </w:rPr>
            </w:pPr>
            <w:r w:rsidRPr="00277BEC">
              <w:rPr>
                <w:rFonts w:eastAsia="Times New Roman"/>
                <w:color w:val="000000"/>
                <w:lang w:eastAsia="en-NZ"/>
              </w:rPr>
              <w:t>6.5</w:t>
            </w:r>
          </w:p>
        </w:tc>
        <w:tc>
          <w:tcPr>
            <w:tcW w:w="0" w:type="auto"/>
            <w:shd w:val="clear" w:color="auto" w:fill="auto"/>
            <w:noWrap/>
            <w:vAlign w:val="bottom"/>
          </w:tcPr>
          <w:p w14:paraId="3428B036" w14:textId="21BD4F7E" w:rsidR="00897E4D" w:rsidRPr="00277BEC" w:rsidRDefault="00897E4D" w:rsidP="00953A79">
            <w:pPr>
              <w:pStyle w:val="Tabletext"/>
              <w:rPr>
                <w:lang w:eastAsia="en-NZ"/>
              </w:rPr>
            </w:pPr>
            <w:r w:rsidRPr="00277BEC">
              <w:rPr>
                <w:rFonts w:eastAsia="Times New Roman"/>
                <w:color w:val="000000"/>
                <w:lang w:eastAsia="en-NZ"/>
              </w:rPr>
              <w:t>7.4</w:t>
            </w:r>
          </w:p>
        </w:tc>
        <w:tc>
          <w:tcPr>
            <w:tcW w:w="0" w:type="auto"/>
            <w:shd w:val="clear" w:color="auto" w:fill="auto"/>
            <w:noWrap/>
            <w:vAlign w:val="bottom"/>
          </w:tcPr>
          <w:p w14:paraId="17FCD519" w14:textId="769F623F" w:rsidR="00897E4D" w:rsidRPr="00277BEC" w:rsidRDefault="00897E4D" w:rsidP="00953A79">
            <w:pPr>
              <w:pStyle w:val="Tabletext"/>
              <w:rPr>
                <w:lang w:eastAsia="en-NZ"/>
              </w:rPr>
            </w:pPr>
            <w:r w:rsidRPr="00277BEC">
              <w:rPr>
                <w:rFonts w:eastAsia="Times New Roman"/>
                <w:color w:val="000000"/>
                <w:lang w:eastAsia="en-NZ"/>
              </w:rPr>
              <w:t>8.9</w:t>
            </w:r>
          </w:p>
        </w:tc>
        <w:tc>
          <w:tcPr>
            <w:tcW w:w="0" w:type="auto"/>
            <w:shd w:val="clear" w:color="auto" w:fill="auto"/>
            <w:noWrap/>
            <w:vAlign w:val="bottom"/>
          </w:tcPr>
          <w:p w14:paraId="5987CC83" w14:textId="5B89040B" w:rsidR="00897E4D" w:rsidRPr="00277BEC" w:rsidRDefault="00897E4D" w:rsidP="00953A79">
            <w:pPr>
              <w:pStyle w:val="Tabletext"/>
              <w:rPr>
                <w:lang w:eastAsia="en-NZ"/>
              </w:rPr>
            </w:pPr>
            <w:r w:rsidRPr="00277BEC">
              <w:rPr>
                <w:rFonts w:eastAsia="Times New Roman"/>
                <w:color w:val="000000"/>
                <w:lang w:eastAsia="en-NZ"/>
              </w:rPr>
              <w:t>2.9</w:t>
            </w:r>
          </w:p>
        </w:tc>
      </w:tr>
      <w:tr w:rsidR="00897E4D" w:rsidRPr="00277BEC" w14:paraId="79C3348D" w14:textId="77777777" w:rsidTr="006E19C5">
        <w:trPr>
          <w:trHeight w:val="300"/>
          <w:tblCellSpacing w:w="20" w:type="dxa"/>
        </w:trPr>
        <w:tc>
          <w:tcPr>
            <w:tcW w:w="1972" w:type="dxa"/>
            <w:tcBorders>
              <w:bottom w:val="nil"/>
            </w:tcBorders>
            <w:shd w:val="clear" w:color="auto" w:fill="auto"/>
            <w:noWrap/>
            <w:vAlign w:val="bottom"/>
            <w:hideMark/>
          </w:tcPr>
          <w:p w14:paraId="10A77AC3" w14:textId="4419C337" w:rsidR="00897E4D" w:rsidRPr="00277BEC" w:rsidRDefault="00897E4D" w:rsidP="00953A79">
            <w:pPr>
              <w:pStyle w:val="Tabletext"/>
              <w:rPr>
                <w:lang w:eastAsia="en-NZ"/>
              </w:rPr>
            </w:pPr>
            <w:r w:rsidRPr="00277BEC">
              <w:rPr>
                <w:lang w:eastAsia="en-NZ"/>
              </w:rPr>
              <w:t>Decile</w:t>
            </w:r>
            <w:r w:rsidR="000539C6">
              <w:rPr>
                <w:lang w:eastAsia="en-NZ"/>
              </w:rPr>
              <w:t>s</w:t>
            </w:r>
            <w:r w:rsidRPr="00277BEC">
              <w:rPr>
                <w:lang w:eastAsia="en-NZ"/>
              </w:rPr>
              <w:t xml:space="preserve"> 1-3</w:t>
            </w:r>
          </w:p>
        </w:tc>
        <w:tc>
          <w:tcPr>
            <w:tcW w:w="1779" w:type="dxa"/>
            <w:shd w:val="clear" w:color="auto" w:fill="auto"/>
            <w:noWrap/>
            <w:vAlign w:val="bottom"/>
          </w:tcPr>
          <w:p w14:paraId="041D4331" w14:textId="2949D8FE" w:rsidR="00897E4D" w:rsidRPr="00277BEC" w:rsidRDefault="00897E4D" w:rsidP="00953A79">
            <w:pPr>
              <w:pStyle w:val="Tabletext"/>
              <w:rPr>
                <w:lang w:eastAsia="en-NZ"/>
              </w:rPr>
            </w:pPr>
            <w:r w:rsidRPr="00277BEC">
              <w:rPr>
                <w:rFonts w:eastAsia="Times New Roman"/>
                <w:color w:val="000000"/>
                <w:lang w:eastAsia="en-NZ"/>
              </w:rPr>
              <w:t>27.5</w:t>
            </w:r>
          </w:p>
        </w:tc>
        <w:tc>
          <w:tcPr>
            <w:tcW w:w="0" w:type="auto"/>
            <w:shd w:val="clear" w:color="auto" w:fill="auto"/>
            <w:noWrap/>
            <w:vAlign w:val="bottom"/>
          </w:tcPr>
          <w:p w14:paraId="71A752B0" w14:textId="11166377" w:rsidR="00897E4D" w:rsidRPr="00277BEC" w:rsidRDefault="00897E4D" w:rsidP="00953A79">
            <w:pPr>
              <w:pStyle w:val="Tabletext"/>
              <w:rPr>
                <w:lang w:eastAsia="en-NZ"/>
              </w:rPr>
            </w:pPr>
            <w:r w:rsidRPr="00277BEC">
              <w:rPr>
                <w:rFonts w:eastAsia="Times New Roman"/>
                <w:color w:val="000000"/>
                <w:lang w:eastAsia="en-NZ"/>
              </w:rPr>
              <w:t>17.8</w:t>
            </w:r>
          </w:p>
        </w:tc>
        <w:tc>
          <w:tcPr>
            <w:tcW w:w="0" w:type="auto"/>
            <w:shd w:val="clear" w:color="auto" w:fill="auto"/>
            <w:noWrap/>
            <w:vAlign w:val="bottom"/>
          </w:tcPr>
          <w:p w14:paraId="3B1C2A5D" w14:textId="22F281E2" w:rsidR="00897E4D" w:rsidRPr="00277BEC" w:rsidRDefault="00897E4D" w:rsidP="00953A79">
            <w:pPr>
              <w:pStyle w:val="Tabletext"/>
              <w:rPr>
                <w:lang w:eastAsia="en-NZ"/>
              </w:rPr>
            </w:pPr>
            <w:r w:rsidRPr="00277BEC">
              <w:rPr>
                <w:rFonts w:eastAsia="Times New Roman"/>
                <w:color w:val="000000"/>
                <w:lang w:eastAsia="en-NZ"/>
              </w:rPr>
              <w:t>2.2</w:t>
            </w:r>
          </w:p>
        </w:tc>
        <w:tc>
          <w:tcPr>
            <w:tcW w:w="0" w:type="auto"/>
            <w:shd w:val="clear" w:color="auto" w:fill="auto"/>
            <w:noWrap/>
            <w:vAlign w:val="bottom"/>
          </w:tcPr>
          <w:p w14:paraId="42921883" w14:textId="4C6D70AD" w:rsidR="00897E4D" w:rsidRPr="00277BEC" w:rsidRDefault="00897E4D" w:rsidP="00953A79">
            <w:pPr>
              <w:pStyle w:val="Tabletext"/>
              <w:rPr>
                <w:lang w:eastAsia="en-NZ"/>
              </w:rPr>
            </w:pPr>
            <w:r w:rsidRPr="00277BEC">
              <w:rPr>
                <w:rFonts w:eastAsia="Times New Roman"/>
                <w:color w:val="000000"/>
                <w:lang w:eastAsia="en-NZ"/>
              </w:rPr>
              <w:t>25</w:t>
            </w:r>
          </w:p>
        </w:tc>
      </w:tr>
      <w:tr w:rsidR="00897E4D" w:rsidRPr="00277BEC" w14:paraId="46AD678B" w14:textId="77777777" w:rsidTr="006E19C5">
        <w:trPr>
          <w:trHeight w:val="300"/>
          <w:tblCellSpacing w:w="20" w:type="dxa"/>
        </w:trPr>
        <w:tc>
          <w:tcPr>
            <w:tcW w:w="1972" w:type="dxa"/>
            <w:tcBorders>
              <w:top w:val="nil"/>
              <w:bottom w:val="nil"/>
            </w:tcBorders>
            <w:shd w:val="clear" w:color="auto" w:fill="auto"/>
            <w:noWrap/>
            <w:vAlign w:val="bottom"/>
            <w:hideMark/>
          </w:tcPr>
          <w:p w14:paraId="50C3F2B1" w14:textId="2B62F0D8" w:rsidR="00897E4D" w:rsidRPr="00277BEC" w:rsidRDefault="00897E4D" w:rsidP="006E19C5">
            <w:pPr>
              <w:pStyle w:val="Tabletext"/>
              <w:rPr>
                <w:lang w:eastAsia="en-NZ"/>
              </w:rPr>
            </w:pPr>
            <w:r w:rsidRPr="00277BEC">
              <w:rPr>
                <w:lang w:eastAsia="en-NZ"/>
              </w:rPr>
              <w:t>Decile</w:t>
            </w:r>
            <w:r w:rsidR="000539C6">
              <w:rPr>
                <w:lang w:eastAsia="en-NZ"/>
              </w:rPr>
              <w:t>s</w:t>
            </w:r>
            <w:r w:rsidRPr="00277BEC">
              <w:rPr>
                <w:lang w:eastAsia="en-NZ"/>
              </w:rPr>
              <w:t xml:space="preserve"> 4-7</w:t>
            </w:r>
          </w:p>
        </w:tc>
        <w:tc>
          <w:tcPr>
            <w:tcW w:w="1779" w:type="dxa"/>
            <w:shd w:val="clear" w:color="auto" w:fill="auto"/>
            <w:noWrap/>
            <w:vAlign w:val="bottom"/>
          </w:tcPr>
          <w:p w14:paraId="084258AE" w14:textId="1D8871D2" w:rsidR="00897E4D" w:rsidRPr="00277BEC" w:rsidRDefault="00897E4D" w:rsidP="00953A79">
            <w:pPr>
              <w:pStyle w:val="Tabletext"/>
              <w:rPr>
                <w:lang w:eastAsia="en-NZ"/>
              </w:rPr>
            </w:pPr>
            <w:r w:rsidRPr="00277BEC">
              <w:rPr>
                <w:rFonts w:eastAsia="Times New Roman"/>
                <w:color w:val="000000"/>
                <w:lang w:eastAsia="en-NZ"/>
              </w:rPr>
              <w:t>15.5</w:t>
            </w:r>
          </w:p>
        </w:tc>
        <w:tc>
          <w:tcPr>
            <w:tcW w:w="0" w:type="auto"/>
            <w:shd w:val="clear" w:color="auto" w:fill="auto"/>
            <w:noWrap/>
            <w:vAlign w:val="bottom"/>
          </w:tcPr>
          <w:p w14:paraId="7450BFA8" w14:textId="16833805" w:rsidR="00897E4D" w:rsidRPr="00277BEC" w:rsidRDefault="00897E4D" w:rsidP="00953A79">
            <w:pPr>
              <w:pStyle w:val="Tabletext"/>
              <w:rPr>
                <w:lang w:eastAsia="en-NZ"/>
              </w:rPr>
            </w:pPr>
            <w:r w:rsidRPr="00277BEC">
              <w:rPr>
                <w:rFonts w:eastAsia="Times New Roman"/>
                <w:color w:val="000000"/>
                <w:lang w:eastAsia="en-NZ"/>
              </w:rPr>
              <w:t>40.8</w:t>
            </w:r>
          </w:p>
        </w:tc>
        <w:tc>
          <w:tcPr>
            <w:tcW w:w="0" w:type="auto"/>
            <w:shd w:val="clear" w:color="auto" w:fill="auto"/>
            <w:noWrap/>
            <w:vAlign w:val="bottom"/>
          </w:tcPr>
          <w:p w14:paraId="58D595ED" w14:textId="4308CA2B" w:rsidR="00897E4D" w:rsidRPr="00277BEC" w:rsidRDefault="00897E4D" w:rsidP="00953A79">
            <w:pPr>
              <w:pStyle w:val="Tabletext"/>
              <w:rPr>
                <w:lang w:eastAsia="en-NZ"/>
              </w:rPr>
            </w:pPr>
            <w:r w:rsidRPr="00277BEC">
              <w:rPr>
                <w:rFonts w:eastAsia="Times New Roman"/>
                <w:color w:val="000000"/>
                <w:lang w:eastAsia="en-NZ"/>
              </w:rPr>
              <w:t>19.0</w:t>
            </w:r>
          </w:p>
        </w:tc>
        <w:tc>
          <w:tcPr>
            <w:tcW w:w="0" w:type="auto"/>
            <w:shd w:val="clear" w:color="auto" w:fill="auto"/>
            <w:noWrap/>
            <w:vAlign w:val="bottom"/>
          </w:tcPr>
          <w:p w14:paraId="14E595B8" w14:textId="4340AFDC" w:rsidR="00897E4D" w:rsidRPr="00277BEC" w:rsidRDefault="00897E4D" w:rsidP="00953A79">
            <w:pPr>
              <w:pStyle w:val="Tabletext"/>
              <w:rPr>
                <w:lang w:eastAsia="en-NZ"/>
              </w:rPr>
            </w:pPr>
            <w:r w:rsidRPr="00277BEC">
              <w:rPr>
                <w:rFonts w:eastAsia="Times New Roman"/>
                <w:color w:val="000000"/>
                <w:lang w:eastAsia="en-NZ"/>
              </w:rPr>
              <w:t>35</w:t>
            </w:r>
          </w:p>
        </w:tc>
      </w:tr>
      <w:tr w:rsidR="00897E4D" w:rsidRPr="00277BEC" w14:paraId="6D8CFFCA" w14:textId="77777777" w:rsidTr="006E19C5">
        <w:trPr>
          <w:trHeight w:val="300"/>
          <w:tblCellSpacing w:w="20" w:type="dxa"/>
        </w:trPr>
        <w:tc>
          <w:tcPr>
            <w:tcW w:w="1972" w:type="dxa"/>
            <w:tcBorders>
              <w:top w:val="nil"/>
            </w:tcBorders>
            <w:shd w:val="clear" w:color="auto" w:fill="auto"/>
            <w:noWrap/>
            <w:vAlign w:val="bottom"/>
            <w:hideMark/>
          </w:tcPr>
          <w:p w14:paraId="056A2614" w14:textId="0DBE5C79" w:rsidR="00897E4D" w:rsidRPr="00277BEC" w:rsidRDefault="00897E4D" w:rsidP="00953A79">
            <w:pPr>
              <w:pStyle w:val="Tabletext"/>
              <w:rPr>
                <w:lang w:eastAsia="en-NZ"/>
              </w:rPr>
            </w:pPr>
            <w:r w:rsidRPr="00277BEC">
              <w:rPr>
                <w:lang w:eastAsia="en-NZ"/>
              </w:rPr>
              <w:t>Decile</w:t>
            </w:r>
            <w:r w:rsidR="000539C6">
              <w:rPr>
                <w:lang w:eastAsia="en-NZ"/>
              </w:rPr>
              <w:t>s</w:t>
            </w:r>
            <w:r w:rsidRPr="00277BEC">
              <w:rPr>
                <w:lang w:eastAsia="en-NZ"/>
              </w:rPr>
              <w:t xml:space="preserve"> 8-10</w:t>
            </w:r>
          </w:p>
        </w:tc>
        <w:tc>
          <w:tcPr>
            <w:tcW w:w="1779" w:type="dxa"/>
            <w:shd w:val="clear" w:color="auto" w:fill="auto"/>
            <w:noWrap/>
            <w:vAlign w:val="bottom"/>
          </w:tcPr>
          <w:p w14:paraId="544373ED" w14:textId="23A75567" w:rsidR="00897E4D" w:rsidRPr="00277BEC" w:rsidRDefault="00897E4D" w:rsidP="00953A79">
            <w:pPr>
              <w:pStyle w:val="Tabletext"/>
              <w:rPr>
                <w:lang w:eastAsia="en-NZ"/>
              </w:rPr>
            </w:pPr>
            <w:r w:rsidRPr="00277BEC">
              <w:rPr>
                <w:rFonts w:eastAsia="Times New Roman"/>
                <w:color w:val="000000"/>
                <w:lang w:eastAsia="en-NZ"/>
              </w:rPr>
              <w:t>57.0</w:t>
            </w:r>
          </w:p>
        </w:tc>
        <w:tc>
          <w:tcPr>
            <w:tcW w:w="0" w:type="auto"/>
            <w:shd w:val="clear" w:color="auto" w:fill="auto"/>
            <w:noWrap/>
            <w:vAlign w:val="bottom"/>
          </w:tcPr>
          <w:p w14:paraId="3AC340D0" w14:textId="65841906" w:rsidR="00897E4D" w:rsidRPr="00277BEC" w:rsidRDefault="00897E4D" w:rsidP="00953A79">
            <w:pPr>
              <w:pStyle w:val="Tabletext"/>
              <w:rPr>
                <w:lang w:eastAsia="en-NZ"/>
              </w:rPr>
            </w:pPr>
            <w:r w:rsidRPr="00277BEC">
              <w:rPr>
                <w:rFonts w:eastAsia="Times New Roman"/>
                <w:color w:val="000000"/>
                <w:lang w:eastAsia="en-NZ"/>
              </w:rPr>
              <w:t>41.4</w:t>
            </w:r>
          </w:p>
        </w:tc>
        <w:tc>
          <w:tcPr>
            <w:tcW w:w="0" w:type="auto"/>
            <w:shd w:val="clear" w:color="auto" w:fill="auto"/>
            <w:noWrap/>
            <w:vAlign w:val="bottom"/>
          </w:tcPr>
          <w:p w14:paraId="6F9A2CBF" w14:textId="17C0D565" w:rsidR="00897E4D" w:rsidRPr="00277BEC" w:rsidRDefault="00897E4D" w:rsidP="00953A79">
            <w:pPr>
              <w:pStyle w:val="Tabletext"/>
              <w:rPr>
                <w:lang w:eastAsia="en-NZ"/>
              </w:rPr>
            </w:pPr>
            <w:r w:rsidRPr="00277BEC">
              <w:rPr>
                <w:rFonts w:eastAsia="Times New Roman"/>
                <w:color w:val="000000"/>
                <w:lang w:eastAsia="en-NZ"/>
              </w:rPr>
              <w:t>78.8</w:t>
            </w:r>
          </w:p>
        </w:tc>
        <w:tc>
          <w:tcPr>
            <w:tcW w:w="0" w:type="auto"/>
            <w:shd w:val="clear" w:color="auto" w:fill="auto"/>
            <w:noWrap/>
            <w:vAlign w:val="bottom"/>
          </w:tcPr>
          <w:p w14:paraId="08B39CA4" w14:textId="5BC751D7" w:rsidR="00897E4D" w:rsidRPr="00277BEC" w:rsidRDefault="00897E4D" w:rsidP="00953A79">
            <w:pPr>
              <w:pStyle w:val="Tabletext"/>
              <w:rPr>
                <w:lang w:eastAsia="en-NZ"/>
              </w:rPr>
            </w:pPr>
            <w:r w:rsidRPr="00277BEC">
              <w:rPr>
                <w:rFonts w:eastAsia="Times New Roman"/>
                <w:color w:val="000000"/>
                <w:lang w:eastAsia="en-NZ"/>
              </w:rPr>
              <w:t>40</w:t>
            </w:r>
          </w:p>
        </w:tc>
      </w:tr>
      <w:tr w:rsidR="00897E4D" w:rsidRPr="00277BEC" w14:paraId="0E1FBEE0" w14:textId="77777777" w:rsidTr="006E19C5">
        <w:trPr>
          <w:trHeight w:val="300"/>
          <w:tblCellSpacing w:w="20" w:type="dxa"/>
        </w:trPr>
        <w:tc>
          <w:tcPr>
            <w:tcW w:w="1972" w:type="dxa"/>
            <w:shd w:val="clear" w:color="auto" w:fill="auto"/>
            <w:noWrap/>
            <w:vAlign w:val="bottom"/>
            <w:hideMark/>
          </w:tcPr>
          <w:p w14:paraId="553DDBC5" w14:textId="77777777" w:rsidR="00897E4D" w:rsidRPr="00277BEC" w:rsidRDefault="00897E4D" w:rsidP="00953A79">
            <w:pPr>
              <w:pStyle w:val="Tabletext"/>
              <w:rPr>
                <w:i/>
                <w:iCs/>
                <w:lang w:eastAsia="en-NZ"/>
              </w:rPr>
            </w:pPr>
            <w:r w:rsidRPr="00277BEC">
              <w:rPr>
                <w:i/>
                <w:iCs/>
                <w:lang w:eastAsia="en-NZ"/>
              </w:rPr>
              <w:t> n</w:t>
            </w:r>
          </w:p>
        </w:tc>
        <w:tc>
          <w:tcPr>
            <w:tcW w:w="1779" w:type="dxa"/>
            <w:shd w:val="clear" w:color="auto" w:fill="auto"/>
            <w:noWrap/>
            <w:vAlign w:val="bottom"/>
          </w:tcPr>
          <w:p w14:paraId="41250A47" w14:textId="089B9042" w:rsidR="00897E4D" w:rsidRPr="00277BEC" w:rsidRDefault="00897E4D" w:rsidP="00953A79">
            <w:pPr>
              <w:pStyle w:val="Tabletext"/>
              <w:rPr>
                <w:lang w:eastAsia="en-NZ"/>
              </w:rPr>
            </w:pPr>
            <w:r w:rsidRPr="00277BEC">
              <w:rPr>
                <w:rFonts w:eastAsia="Times New Roman"/>
                <w:color w:val="000000"/>
                <w:lang w:eastAsia="en-NZ"/>
              </w:rPr>
              <w:t>1,408</w:t>
            </w:r>
          </w:p>
        </w:tc>
        <w:tc>
          <w:tcPr>
            <w:tcW w:w="0" w:type="auto"/>
            <w:shd w:val="clear" w:color="auto" w:fill="auto"/>
            <w:noWrap/>
            <w:vAlign w:val="bottom"/>
          </w:tcPr>
          <w:p w14:paraId="45082D58" w14:textId="52F9DDB6" w:rsidR="00897E4D" w:rsidRPr="00277BEC" w:rsidRDefault="00897E4D" w:rsidP="00953A79">
            <w:pPr>
              <w:pStyle w:val="Tabletext"/>
              <w:rPr>
                <w:lang w:eastAsia="en-NZ"/>
              </w:rPr>
            </w:pPr>
          </w:p>
        </w:tc>
        <w:tc>
          <w:tcPr>
            <w:tcW w:w="0" w:type="auto"/>
            <w:shd w:val="clear" w:color="auto" w:fill="auto"/>
            <w:noWrap/>
            <w:vAlign w:val="bottom"/>
          </w:tcPr>
          <w:p w14:paraId="65C063DB" w14:textId="56BB6FA0" w:rsidR="00897E4D" w:rsidRPr="00277BEC" w:rsidRDefault="00897E4D" w:rsidP="00953A79">
            <w:pPr>
              <w:pStyle w:val="Tabletext"/>
              <w:rPr>
                <w:lang w:eastAsia="en-NZ"/>
              </w:rPr>
            </w:pPr>
            <w:r w:rsidRPr="00277BEC">
              <w:rPr>
                <w:rFonts w:eastAsia="Times New Roman"/>
                <w:color w:val="000000"/>
                <w:lang w:eastAsia="en-NZ"/>
              </w:rPr>
              <w:t>1,023</w:t>
            </w:r>
          </w:p>
        </w:tc>
        <w:tc>
          <w:tcPr>
            <w:tcW w:w="0" w:type="auto"/>
            <w:shd w:val="clear" w:color="auto" w:fill="auto"/>
            <w:noWrap/>
            <w:vAlign w:val="bottom"/>
          </w:tcPr>
          <w:p w14:paraId="20C3AF10" w14:textId="6FB6252A" w:rsidR="00897E4D" w:rsidRPr="00277BEC" w:rsidRDefault="00897E4D" w:rsidP="00953A79">
            <w:pPr>
              <w:pStyle w:val="Tabletext"/>
              <w:rPr>
                <w:lang w:eastAsia="en-NZ"/>
              </w:rPr>
            </w:pPr>
          </w:p>
        </w:tc>
      </w:tr>
    </w:tbl>
    <w:p w14:paraId="4DFE1CF5" w14:textId="77777777" w:rsidR="00474A11" w:rsidRPr="00277BEC" w:rsidRDefault="00D04483" w:rsidP="00430F68">
      <w:pPr>
        <w:pStyle w:val="Heading2"/>
        <w:rPr>
          <w:rFonts w:cs="Arial"/>
        </w:rPr>
      </w:pPr>
      <w:bookmarkStart w:id="36" w:name="_Toc264282841"/>
      <w:bookmarkStart w:id="37" w:name="_Toc417920179"/>
      <w:r w:rsidRPr="00277BEC">
        <w:rPr>
          <w:rFonts w:cs="Arial"/>
        </w:rPr>
        <w:t>Analysis</w:t>
      </w:r>
      <w:bookmarkEnd w:id="36"/>
      <w:bookmarkEnd w:id="37"/>
    </w:p>
    <w:p w14:paraId="28A9BC52" w14:textId="22B8B2DE" w:rsidR="00423C1A" w:rsidRPr="00277BEC" w:rsidRDefault="00423C1A" w:rsidP="000539C6">
      <w:pPr>
        <w:jc w:val="left"/>
        <w:rPr>
          <w:rFonts w:ascii="Arial" w:hAnsi="Arial" w:cs="Arial"/>
        </w:rPr>
      </w:pPr>
      <w:r w:rsidRPr="00277BEC">
        <w:rPr>
          <w:rFonts w:ascii="Arial" w:hAnsi="Arial" w:cs="Arial"/>
        </w:rPr>
        <w:t xml:space="preserve">Several empirical techniques were used to investigate the alignments between the various scales. </w:t>
      </w:r>
      <w:r w:rsidR="00B75E01" w:rsidRPr="00277BEC">
        <w:rPr>
          <w:rFonts w:ascii="Arial" w:hAnsi="Arial" w:cs="Arial"/>
        </w:rPr>
        <w:t xml:space="preserve">The distribution on the </w:t>
      </w:r>
      <w:r w:rsidR="0067269D" w:rsidRPr="00277BEC">
        <w:rPr>
          <w:rFonts w:ascii="Arial" w:hAnsi="Arial" w:cs="Arial"/>
        </w:rPr>
        <w:t xml:space="preserve">Assessment Tool scales and </w:t>
      </w:r>
      <w:r w:rsidR="003B34EF" w:rsidRPr="00277BEC">
        <w:rPr>
          <w:rFonts w:ascii="Arial" w:hAnsi="Arial" w:cs="Arial"/>
        </w:rPr>
        <w:t>learning progression</w:t>
      </w:r>
      <w:r w:rsidR="00460603" w:rsidRPr="00277BEC">
        <w:rPr>
          <w:rFonts w:ascii="Arial" w:hAnsi="Arial" w:cs="Arial"/>
        </w:rPr>
        <w:t xml:space="preserve"> </w:t>
      </w:r>
      <w:r w:rsidR="0067269D" w:rsidRPr="00277BEC">
        <w:rPr>
          <w:rFonts w:ascii="Arial" w:hAnsi="Arial" w:cs="Arial"/>
        </w:rPr>
        <w:t>steps</w:t>
      </w:r>
      <w:r w:rsidR="00B75E01" w:rsidRPr="00277BEC">
        <w:rPr>
          <w:rFonts w:ascii="Arial" w:hAnsi="Arial" w:cs="Arial"/>
        </w:rPr>
        <w:t xml:space="preserve"> was examined for students that had or had not attained various outcomes, such as meeting the literacy and numeracy requirements for NCEA. </w:t>
      </w:r>
      <w:r w:rsidR="006D02BB" w:rsidRPr="00277BEC">
        <w:rPr>
          <w:rFonts w:ascii="Arial" w:hAnsi="Arial" w:cs="Arial"/>
        </w:rPr>
        <w:t xml:space="preserve">Logistic regression </w:t>
      </w:r>
      <w:r w:rsidRPr="00277BEC">
        <w:rPr>
          <w:rFonts w:ascii="Arial" w:hAnsi="Arial" w:cs="Arial"/>
        </w:rPr>
        <w:t>was</w:t>
      </w:r>
      <w:r w:rsidR="006D02BB" w:rsidRPr="00277BEC">
        <w:rPr>
          <w:rFonts w:ascii="Arial" w:hAnsi="Arial" w:cs="Arial"/>
        </w:rPr>
        <w:t xml:space="preserve"> used to estimate the probability of attaining various outcomes as a function of </w:t>
      </w:r>
      <w:r w:rsidRPr="00277BEC">
        <w:rPr>
          <w:rFonts w:ascii="Arial" w:hAnsi="Arial" w:cs="Arial"/>
        </w:rPr>
        <w:t xml:space="preserve">performance on the Assessment Tool. </w:t>
      </w:r>
      <w:r w:rsidR="00B75E01" w:rsidRPr="00277BEC">
        <w:rPr>
          <w:rFonts w:ascii="Arial" w:hAnsi="Arial" w:cs="Arial"/>
        </w:rPr>
        <w:t xml:space="preserve">Outcomes </w:t>
      </w:r>
      <w:r w:rsidRPr="00277BEC">
        <w:rPr>
          <w:rFonts w:ascii="Arial" w:hAnsi="Arial" w:cs="Arial"/>
        </w:rPr>
        <w:t>o</w:t>
      </w:r>
      <w:r w:rsidR="00B75E01" w:rsidRPr="00277BEC">
        <w:rPr>
          <w:rFonts w:ascii="Arial" w:hAnsi="Arial" w:cs="Arial"/>
        </w:rPr>
        <w:t>f</w:t>
      </w:r>
      <w:r w:rsidRPr="00277BEC">
        <w:rPr>
          <w:rFonts w:ascii="Arial" w:hAnsi="Arial" w:cs="Arial"/>
        </w:rPr>
        <w:t xml:space="preserve"> interest include </w:t>
      </w:r>
      <w:r w:rsidR="00B75E01" w:rsidRPr="00277BEC">
        <w:rPr>
          <w:rFonts w:ascii="Arial" w:hAnsi="Arial" w:cs="Arial"/>
        </w:rPr>
        <w:t>meeting the literacy and numeracy requirements for NCEA by either of the unit or achievement standards pathways</w:t>
      </w:r>
      <w:r w:rsidR="007011D1" w:rsidRPr="00277BEC">
        <w:rPr>
          <w:rFonts w:ascii="Arial" w:hAnsi="Arial" w:cs="Arial"/>
        </w:rPr>
        <w:t>,</w:t>
      </w:r>
      <w:r w:rsidR="00460603" w:rsidRPr="00277BEC">
        <w:rPr>
          <w:rFonts w:ascii="Arial" w:hAnsi="Arial" w:cs="Arial"/>
        </w:rPr>
        <w:t xml:space="preserve"> and</w:t>
      </w:r>
      <w:r w:rsidR="00B75E01" w:rsidRPr="00277BEC">
        <w:rPr>
          <w:rFonts w:ascii="Arial" w:hAnsi="Arial" w:cs="Arial"/>
        </w:rPr>
        <w:t xml:space="preserve"> attaining NCEA </w:t>
      </w:r>
      <w:r w:rsidR="008234DB" w:rsidRPr="00277BEC">
        <w:rPr>
          <w:rFonts w:ascii="Arial" w:hAnsi="Arial" w:cs="Arial"/>
        </w:rPr>
        <w:t>Level</w:t>
      </w:r>
      <w:r w:rsidR="00B75E01" w:rsidRPr="00277BEC">
        <w:rPr>
          <w:rFonts w:ascii="Arial" w:hAnsi="Arial" w:cs="Arial"/>
        </w:rPr>
        <w:t>s 1 or 2</w:t>
      </w:r>
      <w:r w:rsidR="00460603" w:rsidRPr="00277BEC">
        <w:rPr>
          <w:rFonts w:ascii="Arial" w:hAnsi="Arial" w:cs="Arial"/>
        </w:rPr>
        <w:t xml:space="preserve">. </w:t>
      </w:r>
    </w:p>
    <w:p w14:paraId="12AA5D0D" w14:textId="3978B34A" w:rsidR="00C60978" w:rsidRPr="00277BEC" w:rsidRDefault="00C60978" w:rsidP="000539C6">
      <w:pPr>
        <w:jc w:val="left"/>
        <w:rPr>
          <w:rFonts w:ascii="Arial" w:hAnsi="Arial" w:cs="Arial"/>
        </w:rPr>
      </w:pPr>
      <w:r w:rsidRPr="00277BEC">
        <w:rPr>
          <w:rFonts w:ascii="Arial" w:hAnsi="Arial" w:cs="Arial"/>
        </w:rPr>
        <w:br w:type="page"/>
      </w:r>
    </w:p>
    <w:p w14:paraId="2CC0653C" w14:textId="77777777" w:rsidR="008E3635" w:rsidRPr="00277BEC" w:rsidRDefault="008E3635" w:rsidP="00CF53F0">
      <w:pPr>
        <w:pStyle w:val="Heading1"/>
        <w:jc w:val="left"/>
        <w:rPr>
          <w:rFonts w:cs="Arial"/>
        </w:rPr>
      </w:pPr>
      <w:bookmarkStart w:id="38" w:name="_Toc264282842"/>
      <w:bookmarkStart w:id="39" w:name="_Toc417920180"/>
      <w:r w:rsidRPr="00277BEC">
        <w:rPr>
          <w:rFonts w:cs="Arial"/>
        </w:rPr>
        <w:lastRenderedPageBreak/>
        <w:t>Review of previously established links</w:t>
      </w:r>
      <w:bookmarkEnd w:id="38"/>
      <w:bookmarkEnd w:id="39"/>
    </w:p>
    <w:p w14:paraId="6BF87A66" w14:textId="77777777" w:rsidR="008E3635" w:rsidRPr="00277BEC" w:rsidRDefault="008E3635" w:rsidP="00CF53F0">
      <w:pPr>
        <w:jc w:val="left"/>
        <w:rPr>
          <w:rFonts w:ascii="Arial" w:hAnsi="Arial" w:cs="Arial"/>
        </w:rPr>
      </w:pPr>
      <w:r w:rsidRPr="00277BEC">
        <w:rPr>
          <w:rFonts w:ascii="Arial" w:hAnsi="Arial" w:cs="Arial"/>
        </w:rPr>
        <w:t>Literacy and numeracy competencies are measured by a number of different scales across the compulsory and post-compulsory sectors in New Zealand</w:t>
      </w:r>
      <w:r w:rsidR="007A2F7D" w:rsidRPr="00277BEC">
        <w:rPr>
          <w:rFonts w:ascii="Arial" w:hAnsi="Arial" w:cs="Arial"/>
        </w:rPr>
        <w:t xml:space="preserve">. </w:t>
      </w:r>
      <w:r w:rsidRPr="00277BEC">
        <w:rPr>
          <w:rFonts w:ascii="Arial" w:hAnsi="Arial" w:cs="Arial"/>
        </w:rPr>
        <w:t>For the purposes of this project it is important to establish the links that already exist between the various scales. The research question that is the focus for this chapter is:</w:t>
      </w:r>
    </w:p>
    <w:p w14:paraId="367C7F76" w14:textId="4C64348A" w:rsidR="008E3635" w:rsidRPr="004B4F59" w:rsidRDefault="00B0501D" w:rsidP="00CF53F0">
      <w:pPr>
        <w:pStyle w:val="BodyText"/>
        <w:ind w:left="360"/>
        <w:jc w:val="left"/>
        <w:rPr>
          <w:rFonts w:ascii="Arial" w:hAnsi="Arial" w:cs="Arial"/>
          <w:b/>
        </w:rPr>
      </w:pPr>
      <w:r w:rsidRPr="004B4F59">
        <w:rPr>
          <w:rFonts w:ascii="Arial" w:hAnsi="Arial" w:cs="Arial"/>
          <w:b/>
        </w:rPr>
        <w:t>2</w:t>
      </w:r>
      <w:r w:rsidR="007A2F7D" w:rsidRPr="004B4F59">
        <w:rPr>
          <w:rFonts w:ascii="Arial" w:hAnsi="Arial" w:cs="Arial"/>
          <w:b/>
        </w:rPr>
        <w:t xml:space="preserve">. </w:t>
      </w:r>
      <w:r w:rsidR="008E3635" w:rsidRPr="004B4F59">
        <w:rPr>
          <w:rFonts w:ascii="Arial" w:hAnsi="Arial" w:cs="Arial"/>
          <w:b/>
        </w:rPr>
        <w:t xml:space="preserve">What do we already know about the alignments between the scales? </w:t>
      </w:r>
    </w:p>
    <w:p w14:paraId="613294A0" w14:textId="77777777" w:rsidR="008E3635" w:rsidRPr="00277BEC" w:rsidRDefault="008E3635" w:rsidP="00CF53F0">
      <w:pPr>
        <w:pStyle w:val="Heading2"/>
        <w:jc w:val="left"/>
        <w:rPr>
          <w:rFonts w:cs="Arial"/>
        </w:rPr>
      </w:pPr>
      <w:bookmarkStart w:id="40" w:name="_Toc264282843"/>
      <w:bookmarkStart w:id="41" w:name="_Toc417920181"/>
      <w:r w:rsidRPr="00277BEC">
        <w:rPr>
          <w:rFonts w:cs="Arial"/>
        </w:rPr>
        <w:t>ALL and the learning progressions</w:t>
      </w:r>
      <w:bookmarkEnd w:id="40"/>
      <w:bookmarkEnd w:id="41"/>
    </w:p>
    <w:p w14:paraId="6C7CB841" w14:textId="706FC715" w:rsidR="008E3635" w:rsidRPr="00277BEC" w:rsidRDefault="008E3635" w:rsidP="00CF53F0">
      <w:pPr>
        <w:pStyle w:val="BodyText"/>
        <w:jc w:val="left"/>
        <w:rPr>
          <w:rFonts w:ascii="Arial" w:hAnsi="Arial" w:cs="Arial"/>
        </w:rPr>
      </w:pPr>
      <w:proofErr w:type="gramStart"/>
      <w:r w:rsidRPr="00277BEC">
        <w:rPr>
          <w:rFonts w:ascii="Arial" w:hAnsi="Arial" w:cs="Arial"/>
        </w:rPr>
        <w:t>Two studies (</w:t>
      </w:r>
      <w:r w:rsidR="00884844" w:rsidRPr="00277BEC">
        <w:rPr>
          <w:rFonts w:ascii="Arial" w:hAnsi="Arial" w:cs="Arial"/>
        </w:rPr>
        <w:t xml:space="preserve">NZCER, </w:t>
      </w:r>
      <w:r w:rsidR="008E09D2" w:rsidRPr="00277BEC">
        <w:rPr>
          <w:rFonts w:ascii="Arial" w:hAnsi="Arial" w:cs="Arial"/>
        </w:rPr>
        <w:t>2010a</w:t>
      </w:r>
      <w:r w:rsidR="00884844" w:rsidRPr="00277BEC">
        <w:rPr>
          <w:rFonts w:ascii="Arial" w:hAnsi="Arial" w:cs="Arial"/>
        </w:rPr>
        <w:t xml:space="preserve">, </w:t>
      </w:r>
      <w:r w:rsidR="002A3F35" w:rsidRPr="00277BEC">
        <w:rPr>
          <w:rFonts w:ascii="Arial" w:hAnsi="Arial" w:cs="Arial"/>
        </w:rPr>
        <w:t>2010b</w:t>
      </w:r>
      <w:r w:rsidRPr="00277BEC">
        <w:rPr>
          <w:rFonts w:ascii="Arial" w:hAnsi="Arial" w:cs="Arial"/>
        </w:rPr>
        <w:t xml:space="preserve"> and </w:t>
      </w:r>
      <w:r w:rsidR="00B56855" w:rsidRPr="00277BEC">
        <w:rPr>
          <w:rFonts w:ascii="Arial" w:hAnsi="Arial" w:cs="Arial"/>
        </w:rPr>
        <w:t>Earle</w:t>
      </w:r>
      <w:r w:rsidRPr="00277BEC">
        <w:rPr>
          <w:rFonts w:ascii="Arial" w:hAnsi="Arial" w:cs="Arial"/>
        </w:rPr>
        <w:t xml:space="preserve">, 2014) report </w:t>
      </w:r>
      <w:r w:rsidR="00B24797" w:rsidRPr="00277BEC">
        <w:rPr>
          <w:rFonts w:ascii="Arial" w:hAnsi="Arial" w:cs="Arial"/>
        </w:rPr>
        <w:t xml:space="preserve">on work </w:t>
      </w:r>
      <w:r w:rsidRPr="00277BEC">
        <w:rPr>
          <w:rFonts w:ascii="Arial" w:hAnsi="Arial" w:cs="Arial"/>
        </w:rPr>
        <w:t>to equate the ALL scales with the learning progression scales.</w:t>
      </w:r>
      <w:proofErr w:type="gramEnd"/>
      <w:r w:rsidRPr="00277BEC">
        <w:rPr>
          <w:rFonts w:ascii="Arial" w:hAnsi="Arial" w:cs="Arial"/>
        </w:rPr>
        <w:t xml:space="preserve"> </w:t>
      </w:r>
      <w:r w:rsidR="00F77A73" w:rsidRPr="00277BEC">
        <w:rPr>
          <w:rFonts w:ascii="Arial" w:hAnsi="Arial" w:cs="Arial"/>
        </w:rPr>
        <w:t xml:space="preserve">Of particular importance for the present work is to determine which steps on the learning progressions are best aligned with </w:t>
      </w:r>
      <w:r w:rsidR="008234DB" w:rsidRPr="00277BEC">
        <w:rPr>
          <w:rFonts w:ascii="Arial" w:hAnsi="Arial" w:cs="Arial"/>
        </w:rPr>
        <w:t>Level</w:t>
      </w:r>
      <w:r w:rsidR="00F77A73" w:rsidRPr="00277BEC">
        <w:rPr>
          <w:rFonts w:ascii="Arial" w:hAnsi="Arial" w:cs="Arial"/>
        </w:rPr>
        <w:t xml:space="preserve"> 3 on each of the corresponding ALL scales. </w:t>
      </w:r>
      <w:r w:rsidRPr="00277BEC">
        <w:rPr>
          <w:rFonts w:ascii="Arial" w:hAnsi="Arial" w:cs="Arial"/>
        </w:rPr>
        <w:t xml:space="preserve">Quite different methodologies were used in each of these studies and different alignments were reported. </w:t>
      </w:r>
    </w:p>
    <w:p w14:paraId="07B598AB" w14:textId="6A1A82F6" w:rsidR="008E3635" w:rsidRPr="00277BEC" w:rsidRDefault="00253508" w:rsidP="00CF53F0">
      <w:pPr>
        <w:pStyle w:val="BodyText"/>
        <w:jc w:val="left"/>
        <w:rPr>
          <w:rFonts w:ascii="Arial" w:hAnsi="Arial" w:cs="Arial"/>
        </w:rPr>
      </w:pPr>
      <w:r w:rsidRPr="00277BEC">
        <w:rPr>
          <w:rFonts w:ascii="Arial" w:hAnsi="Arial" w:cs="Arial"/>
        </w:rPr>
        <w:t xml:space="preserve">NZCER, </w:t>
      </w:r>
      <w:r w:rsidR="008E09D2" w:rsidRPr="00277BEC">
        <w:rPr>
          <w:rFonts w:ascii="Arial" w:hAnsi="Arial" w:cs="Arial"/>
        </w:rPr>
        <w:t>2010a</w:t>
      </w:r>
      <w:r w:rsidRPr="00277BEC">
        <w:rPr>
          <w:rFonts w:ascii="Arial" w:hAnsi="Arial" w:cs="Arial"/>
        </w:rPr>
        <w:t xml:space="preserve">, </w:t>
      </w:r>
      <w:r w:rsidR="002A3F35" w:rsidRPr="00277BEC">
        <w:rPr>
          <w:rFonts w:ascii="Arial" w:hAnsi="Arial" w:cs="Arial"/>
        </w:rPr>
        <w:t>2010b</w:t>
      </w:r>
      <w:r w:rsidR="008E3635" w:rsidRPr="00277BEC">
        <w:rPr>
          <w:rFonts w:ascii="Arial" w:hAnsi="Arial" w:cs="Arial"/>
        </w:rPr>
        <w:t xml:space="preserve"> used a psychometric approach in which approximately 20 ALL items were included in test trials for the Assessment Tool. These items were then co-calibrated with the items being tested for the Assessment Tool. On the basis of this analysis </w:t>
      </w:r>
      <w:r w:rsidR="007C3B50" w:rsidRPr="00277BEC">
        <w:rPr>
          <w:rFonts w:ascii="Arial" w:hAnsi="Arial" w:cs="Arial"/>
        </w:rPr>
        <w:t xml:space="preserve">NZCER </w:t>
      </w:r>
      <w:r w:rsidR="008E3635" w:rsidRPr="00277BEC">
        <w:rPr>
          <w:rFonts w:ascii="Arial" w:hAnsi="Arial" w:cs="Arial"/>
        </w:rPr>
        <w:t xml:space="preserve">reported that ALL </w:t>
      </w:r>
      <w:r w:rsidR="008D1BFA" w:rsidRPr="00277BEC">
        <w:rPr>
          <w:rFonts w:ascii="Arial" w:hAnsi="Arial" w:cs="Arial"/>
        </w:rPr>
        <w:t>L</w:t>
      </w:r>
      <w:r w:rsidR="008E3635" w:rsidRPr="00277BEC">
        <w:rPr>
          <w:rFonts w:ascii="Arial" w:hAnsi="Arial" w:cs="Arial"/>
        </w:rPr>
        <w:t xml:space="preserve">evels 3 and 4 </w:t>
      </w:r>
      <w:r w:rsidR="008D1BFA" w:rsidRPr="00277BEC">
        <w:rPr>
          <w:rFonts w:ascii="Arial" w:hAnsi="Arial" w:cs="Arial"/>
        </w:rPr>
        <w:t xml:space="preserve">in reading </w:t>
      </w:r>
      <w:r w:rsidR="008E3635" w:rsidRPr="00277BEC">
        <w:rPr>
          <w:rFonts w:ascii="Arial" w:hAnsi="Arial" w:cs="Arial"/>
        </w:rPr>
        <w:t xml:space="preserve">correspond approximately to </w:t>
      </w:r>
      <w:r w:rsidR="00CF53F0">
        <w:rPr>
          <w:rFonts w:ascii="Arial" w:hAnsi="Arial" w:cs="Arial"/>
        </w:rPr>
        <w:t>S</w:t>
      </w:r>
      <w:r w:rsidR="008E3635" w:rsidRPr="00277BEC">
        <w:rPr>
          <w:rFonts w:ascii="Arial" w:hAnsi="Arial" w:cs="Arial"/>
        </w:rPr>
        <w:t>teps 3</w:t>
      </w:r>
      <w:r w:rsidR="00CF53F0">
        <w:rPr>
          <w:rFonts w:ascii="Arial" w:hAnsi="Arial" w:cs="Arial"/>
        </w:rPr>
        <w:t xml:space="preserve"> to </w:t>
      </w:r>
      <w:r w:rsidR="008E3635" w:rsidRPr="00277BEC">
        <w:rPr>
          <w:rFonts w:ascii="Arial" w:hAnsi="Arial" w:cs="Arial"/>
        </w:rPr>
        <w:t xml:space="preserve">5 of the reading learning progressions, and that the bottom range of ALL </w:t>
      </w:r>
      <w:r w:rsidR="008D1BFA" w:rsidRPr="00277BEC">
        <w:rPr>
          <w:rFonts w:ascii="Arial" w:hAnsi="Arial" w:cs="Arial"/>
        </w:rPr>
        <w:t>L</w:t>
      </w:r>
      <w:r w:rsidR="008E3635" w:rsidRPr="00277BEC">
        <w:rPr>
          <w:rFonts w:ascii="Arial" w:hAnsi="Arial" w:cs="Arial"/>
        </w:rPr>
        <w:t xml:space="preserve">evel 3 approximately aligns with the bottom range of </w:t>
      </w:r>
      <w:r w:rsidR="00CF53F0">
        <w:rPr>
          <w:rFonts w:ascii="Arial" w:hAnsi="Arial" w:cs="Arial"/>
        </w:rPr>
        <w:t>S</w:t>
      </w:r>
      <w:r w:rsidR="008E3635" w:rsidRPr="00277BEC">
        <w:rPr>
          <w:rFonts w:ascii="Arial" w:hAnsi="Arial" w:cs="Arial"/>
        </w:rPr>
        <w:t>tep 5 on the numeracy learning progressions.</w:t>
      </w:r>
    </w:p>
    <w:p w14:paraId="5CAE7FC2" w14:textId="3F851F7C" w:rsidR="008E3635" w:rsidRPr="00277BEC" w:rsidRDefault="008E3635" w:rsidP="00CF53F0">
      <w:pPr>
        <w:pStyle w:val="BodyText"/>
        <w:jc w:val="left"/>
        <w:rPr>
          <w:rFonts w:ascii="Arial" w:hAnsi="Arial" w:cs="Arial"/>
        </w:rPr>
      </w:pPr>
      <w:r w:rsidRPr="00277BEC">
        <w:rPr>
          <w:rFonts w:ascii="Arial" w:hAnsi="Arial" w:cs="Arial"/>
        </w:rPr>
        <w:t xml:space="preserve">Earle (2014) used </w:t>
      </w:r>
      <w:r w:rsidR="007011D1" w:rsidRPr="00277BEC">
        <w:rPr>
          <w:rFonts w:ascii="Arial" w:hAnsi="Arial" w:cs="Arial"/>
        </w:rPr>
        <w:t>a</w:t>
      </w:r>
      <w:r w:rsidRPr="00277BEC">
        <w:rPr>
          <w:rFonts w:ascii="Arial" w:hAnsi="Arial" w:cs="Arial"/>
        </w:rPr>
        <w:t xml:space="preserve"> least-squares (linear) regression </w:t>
      </w:r>
      <w:r w:rsidR="00253508" w:rsidRPr="00277BEC">
        <w:rPr>
          <w:rFonts w:ascii="Arial" w:hAnsi="Arial" w:cs="Arial"/>
        </w:rPr>
        <w:t xml:space="preserve">approach </w:t>
      </w:r>
      <w:r w:rsidRPr="00277BEC">
        <w:rPr>
          <w:rFonts w:ascii="Arial" w:hAnsi="Arial" w:cs="Arial"/>
        </w:rPr>
        <w:t xml:space="preserve">to </w:t>
      </w:r>
      <w:r w:rsidR="00253508" w:rsidRPr="00277BEC">
        <w:rPr>
          <w:rFonts w:ascii="Arial" w:hAnsi="Arial" w:cs="Arial"/>
        </w:rPr>
        <w:t xml:space="preserve">describe the relationship </w:t>
      </w:r>
      <w:r w:rsidRPr="00277BEC">
        <w:rPr>
          <w:rFonts w:ascii="Arial" w:hAnsi="Arial" w:cs="Arial"/>
        </w:rPr>
        <w:t xml:space="preserve">between the </w:t>
      </w:r>
      <w:r w:rsidR="00253508" w:rsidRPr="00277BEC">
        <w:rPr>
          <w:rFonts w:ascii="Arial" w:hAnsi="Arial" w:cs="Arial"/>
        </w:rPr>
        <w:t>final scores</w:t>
      </w:r>
      <w:r w:rsidRPr="00277BEC">
        <w:rPr>
          <w:rFonts w:ascii="Arial" w:hAnsi="Arial" w:cs="Arial"/>
        </w:rPr>
        <w:t>. Earle’s results positioned the bottom of ALL</w:t>
      </w:r>
      <w:r w:rsidR="008D1BFA" w:rsidRPr="00277BEC">
        <w:rPr>
          <w:rFonts w:ascii="Arial" w:hAnsi="Arial" w:cs="Arial"/>
        </w:rPr>
        <w:t xml:space="preserve"> r</w:t>
      </w:r>
      <w:r w:rsidRPr="00277BEC">
        <w:rPr>
          <w:rFonts w:ascii="Arial" w:hAnsi="Arial" w:cs="Arial"/>
        </w:rPr>
        <w:t xml:space="preserve">eading </w:t>
      </w:r>
      <w:r w:rsidR="008D1BFA" w:rsidRPr="00277BEC">
        <w:rPr>
          <w:rFonts w:ascii="Arial" w:hAnsi="Arial" w:cs="Arial"/>
        </w:rPr>
        <w:t>L</w:t>
      </w:r>
      <w:r w:rsidRPr="00277BEC">
        <w:rPr>
          <w:rFonts w:ascii="Arial" w:hAnsi="Arial" w:cs="Arial"/>
        </w:rPr>
        <w:t xml:space="preserve">evel 3 close to the </w:t>
      </w:r>
      <w:r w:rsidR="00A33B10" w:rsidRPr="00277BEC">
        <w:rPr>
          <w:rFonts w:ascii="Arial" w:hAnsi="Arial" w:cs="Arial"/>
        </w:rPr>
        <w:t>top</w:t>
      </w:r>
      <w:r w:rsidRPr="00277BEC">
        <w:rPr>
          <w:rFonts w:ascii="Arial" w:hAnsi="Arial" w:cs="Arial"/>
        </w:rPr>
        <w:t xml:space="preserve"> of </w:t>
      </w:r>
      <w:r w:rsidR="00C24414">
        <w:rPr>
          <w:rFonts w:ascii="Arial" w:hAnsi="Arial" w:cs="Arial"/>
        </w:rPr>
        <w:t>S</w:t>
      </w:r>
      <w:r w:rsidRPr="00277BEC">
        <w:rPr>
          <w:rFonts w:ascii="Arial" w:hAnsi="Arial" w:cs="Arial"/>
        </w:rPr>
        <w:t>tep 4 of the reading learning progressions and ALL</w:t>
      </w:r>
      <w:r w:rsidR="008D1BFA" w:rsidRPr="00277BEC">
        <w:rPr>
          <w:rFonts w:ascii="Arial" w:hAnsi="Arial" w:cs="Arial"/>
        </w:rPr>
        <w:t xml:space="preserve"> n</w:t>
      </w:r>
      <w:r w:rsidRPr="00277BEC">
        <w:rPr>
          <w:rFonts w:ascii="Arial" w:hAnsi="Arial" w:cs="Arial"/>
        </w:rPr>
        <w:t xml:space="preserve">umeracy </w:t>
      </w:r>
      <w:r w:rsidR="008D1BFA" w:rsidRPr="00277BEC">
        <w:rPr>
          <w:rFonts w:ascii="Arial" w:hAnsi="Arial" w:cs="Arial"/>
        </w:rPr>
        <w:t>L</w:t>
      </w:r>
      <w:r w:rsidRPr="00277BEC">
        <w:rPr>
          <w:rFonts w:ascii="Arial" w:hAnsi="Arial" w:cs="Arial"/>
        </w:rPr>
        <w:t xml:space="preserve">evel 3 close to the bottom of </w:t>
      </w:r>
      <w:r w:rsidR="00C24414">
        <w:rPr>
          <w:rFonts w:ascii="Arial" w:hAnsi="Arial" w:cs="Arial"/>
        </w:rPr>
        <w:t>S</w:t>
      </w:r>
      <w:r w:rsidRPr="00277BEC">
        <w:rPr>
          <w:rFonts w:ascii="Arial" w:hAnsi="Arial" w:cs="Arial"/>
        </w:rPr>
        <w:t>tep 6 (the highest step) of the numeracy learning progressions.</w:t>
      </w:r>
    </w:p>
    <w:p w14:paraId="2D6812B0" w14:textId="7AACDC7C" w:rsidR="008E3635" w:rsidRPr="00277BEC" w:rsidRDefault="008E3635" w:rsidP="00CF53F0">
      <w:pPr>
        <w:pStyle w:val="BodyText"/>
        <w:jc w:val="left"/>
        <w:rPr>
          <w:rFonts w:ascii="Arial" w:hAnsi="Arial" w:cs="Arial"/>
        </w:rPr>
      </w:pPr>
      <w:r w:rsidRPr="00277BEC">
        <w:rPr>
          <w:rFonts w:ascii="Arial" w:hAnsi="Arial" w:cs="Arial"/>
        </w:rPr>
        <w:t xml:space="preserve">Both studies have some limitations, acknowledged by the respective authors. The most serious limitation of </w:t>
      </w:r>
      <w:r w:rsidR="007C3B50" w:rsidRPr="00277BEC">
        <w:rPr>
          <w:rFonts w:ascii="Arial" w:hAnsi="Arial" w:cs="Arial"/>
        </w:rPr>
        <w:t>NZCER</w:t>
      </w:r>
      <w:r w:rsidRPr="00277BEC">
        <w:rPr>
          <w:rFonts w:ascii="Arial" w:hAnsi="Arial" w:cs="Arial"/>
        </w:rPr>
        <w:t>’s approach was that the original ALL scales were calibrated using a two-parameter item response model (</w:t>
      </w:r>
      <w:proofErr w:type="spellStart"/>
      <w:r w:rsidRPr="00277BEC">
        <w:rPr>
          <w:rFonts w:ascii="Arial" w:hAnsi="Arial" w:cs="Arial"/>
        </w:rPr>
        <w:t>Samejima</w:t>
      </w:r>
      <w:proofErr w:type="spellEnd"/>
      <w:r w:rsidRPr="00277BEC">
        <w:rPr>
          <w:rFonts w:ascii="Arial" w:hAnsi="Arial" w:cs="Arial"/>
        </w:rPr>
        <w:t>, 1969), whereas the Assessment Tool scales (and the ALL items which were co-calibrated for the purposes of the study) were calibrated using a one-parameter model (</w:t>
      </w:r>
      <w:proofErr w:type="spellStart"/>
      <w:r w:rsidRPr="00277BEC">
        <w:rPr>
          <w:rFonts w:ascii="Arial" w:hAnsi="Arial" w:cs="Arial"/>
        </w:rPr>
        <w:t>Rasch</w:t>
      </w:r>
      <w:proofErr w:type="spellEnd"/>
      <w:r w:rsidRPr="00277BEC">
        <w:rPr>
          <w:rFonts w:ascii="Arial" w:hAnsi="Arial" w:cs="Arial"/>
        </w:rPr>
        <w:t>, 19</w:t>
      </w:r>
      <w:r w:rsidR="00BB58A7" w:rsidRPr="00277BEC">
        <w:rPr>
          <w:rFonts w:ascii="Arial" w:hAnsi="Arial" w:cs="Arial"/>
        </w:rPr>
        <w:t>60/1980</w:t>
      </w:r>
      <w:r w:rsidRPr="00277BEC">
        <w:rPr>
          <w:rFonts w:ascii="Arial" w:hAnsi="Arial" w:cs="Arial"/>
        </w:rPr>
        <w:t>)</w:t>
      </w:r>
      <w:r w:rsidR="007A2F7D" w:rsidRPr="00277BEC">
        <w:rPr>
          <w:rFonts w:ascii="Arial" w:hAnsi="Arial" w:cs="Arial"/>
        </w:rPr>
        <w:t xml:space="preserve">. </w:t>
      </w:r>
      <w:r w:rsidRPr="00277BEC">
        <w:rPr>
          <w:rFonts w:ascii="Arial" w:hAnsi="Arial" w:cs="Arial"/>
        </w:rPr>
        <w:t>Consequently, as the author points out, whereas the difficulty levels of the ALL items included in the trial could be compared with the difficulty levels of the reading and numeracy items with reasonable confidence, the ability of respondents required to be at a given level of proficiency could not be estimated as reliably. The position of a respondent on the ALL scale is governed by both item difficulty and item discrimination: the rate at which the probability of performing correctly on an item increases as a function of ability. On the other hand, the estimated position of a respondent on the Assessment Tool’s reading and numeracy scales is</w:t>
      </w:r>
      <w:r w:rsidR="009478E2" w:rsidRPr="00277BEC">
        <w:rPr>
          <w:rFonts w:ascii="Arial" w:hAnsi="Arial" w:cs="Arial"/>
        </w:rPr>
        <w:t xml:space="preserve"> largely</w:t>
      </w:r>
      <w:r w:rsidRPr="00277BEC">
        <w:rPr>
          <w:rFonts w:ascii="Arial" w:hAnsi="Arial" w:cs="Arial"/>
        </w:rPr>
        <w:t xml:space="preserve"> governed by item difficulty.</w:t>
      </w:r>
    </w:p>
    <w:p w14:paraId="0CA1C248" w14:textId="54937868" w:rsidR="008E3635" w:rsidRPr="00277BEC" w:rsidRDefault="008E3635" w:rsidP="00C24414">
      <w:pPr>
        <w:pStyle w:val="BodyText"/>
        <w:jc w:val="left"/>
        <w:rPr>
          <w:rFonts w:ascii="Arial" w:hAnsi="Arial" w:cs="Arial"/>
        </w:rPr>
      </w:pPr>
      <w:r w:rsidRPr="00277BEC">
        <w:rPr>
          <w:rFonts w:ascii="Arial" w:hAnsi="Arial" w:cs="Arial"/>
        </w:rPr>
        <w:lastRenderedPageBreak/>
        <w:t xml:space="preserve">Earle’s study does not suffer from the same limitation as </w:t>
      </w:r>
      <w:r w:rsidR="007C3B50" w:rsidRPr="00277BEC">
        <w:rPr>
          <w:rFonts w:ascii="Arial" w:hAnsi="Arial" w:cs="Arial"/>
        </w:rPr>
        <w:t xml:space="preserve">NZCER’s </w:t>
      </w:r>
      <w:r w:rsidRPr="00277BEC">
        <w:rPr>
          <w:rFonts w:ascii="Arial" w:hAnsi="Arial" w:cs="Arial"/>
        </w:rPr>
        <w:t xml:space="preserve">because linear regression does not depend upon the precise characteristics of the models used to construct each scale, but only on the degree of correlation between them. In this regard, Earle’s work is on quite firm ground with correlations of .77 and .78 between the Assessment Tool’s reading scale and the </w:t>
      </w:r>
      <w:r w:rsidRPr="00277BEC">
        <w:rPr>
          <w:rFonts w:ascii="Arial" w:hAnsi="Arial" w:cs="Arial"/>
          <w:i/>
        </w:rPr>
        <w:t>prose</w:t>
      </w:r>
      <w:r w:rsidRPr="00277BEC">
        <w:rPr>
          <w:rFonts w:ascii="Arial" w:hAnsi="Arial" w:cs="Arial"/>
        </w:rPr>
        <w:t xml:space="preserve"> and </w:t>
      </w:r>
      <w:r w:rsidRPr="00277BEC">
        <w:rPr>
          <w:rFonts w:ascii="Arial" w:hAnsi="Arial" w:cs="Arial"/>
          <w:i/>
        </w:rPr>
        <w:t>document</w:t>
      </w:r>
      <w:r w:rsidR="00A33B10" w:rsidRPr="00277BEC">
        <w:rPr>
          <w:rFonts w:ascii="Arial" w:hAnsi="Arial" w:cs="Arial"/>
        </w:rPr>
        <w:t xml:space="preserve"> scales of ALL</w:t>
      </w:r>
      <w:r w:rsidRPr="00277BEC">
        <w:rPr>
          <w:rFonts w:ascii="Arial" w:hAnsi="Arial" w:cs="Arial"/>
        </w:rPr>
        <w:t xml:space="preserve"> respectively, and a correlation of .72 between the Asses</w:t>
      </w:r>
      <w:r w:rsidR="004B7AFA" w:rsidRPr="00277BEC">
        <w:rPr>
          <w:rFonts w:ascii="Arial" w:hAnsi="Arial" w:cs="Arial"/>
        </w:rPr>
        <w:t>s</w:t>
      </w:r>
      <w:r w:rsidRPr="00277BEC">
        <w:rPr>
          <w:rFonts w:ascii="Arial" w:hAnsi="Arial" w:cs="Arial"/>
        </w:rPr>
        <w:t>ment Tool’s numeracy scale and the ALL numeracy scales. The greatest limitation of Earle’s study is that considerable time – between four and seven years – elapsed between the measurement of individuals on the ALL scales, and their measurement on the Assessment Tool’s reading and numeracy scales. Thus, it is likely that many respondents’ reading and numeracy improved between the two measures, and that the position on the l</w:t>
      </w:r>
      <w:r w:rsidR="008234DB" w:rsidRPr="00277BEC">
        <w:rPr>
          <w:rFonts w:ascii="Arial" w:hAnsi="Arial" w:cs="Arial"/>
        </w:rPr>
        <w:t>atter scales commensurate with L</w:t>
      </w:r>
      <w:r w:rsidRPr="00277BEC">
        <w:rPr>
          <w:rFonts w:ascii="Arial" w:hAnsi="Arial" w:cs="Arial"/>
        </w:rPr>
        <w:t xml:space="preserve">evel 3 (or any other level) on the ALL tools was somewhat over-estimated. Earle acknowledged this limitation and attempted to mitigate it by including only respondents aged at least 25, and whose first language was English, when they were measured on the </w:t>
      </w:r>
      <w:r w:rsidR="00787AD6" w:rsidRPr="00277BEC">
        <w:rPr>
          <w:rFonts w:ascii="Arial" w:hAnsi="Arial" w:cs="Arial"/>
        </w:rPr>
        <w:t>Assessment Tool</w:t>
      </w:r>
      <w:r w:rsidRPr="00277BEC">
        <w:rPr>
          <w:rFonts w:ascii="Arial" w:hAnsi="Arial" w:cs="Arial"/>
        </w:rPr>
        <w:t>s</w:t>
      </w:r>
      <w:r w:rsidR="00275DE9" w:rsidRPr="00277BEC">
        <w:rPr>
          <w:rFonts w:ascii="Arial" w:hAnsi="Arial" w:cs="Arial"/>
        </w:rPr>
        <w:t>. He did this</w:t>
      </w:r>
      <w:r w:rsidRPr="00277BEC">
        <w:rPr>
          <w:rFonts w:ascii="Arial" w:hAnsi="Arial" w:cs="Arial"/>
        </w:rPr>
        <w:t xml:space="preserve"> on the basis that </w:t>
      </w:r>
      <w:r w:rsidR="00057414" w:rsidRPr="00277BEC">
        <w:rPr>
          <w:rFonts w:ascii="Arial" w:hAnsi="Arial" w:cs="Arial"/>
        </w:rPr>
        <w:t xml:space="preserve">these </w:t>
      </w:r>
      <w:r w:rsidRPr="00277BEC">
        <w:rPr>
          <w:rFonts w:ascii="Arial" w:hAnsi="Arial" w:cs="Arial"/>
        </w:rPr>
        <w:t>respondents would be less likely to have improved substantially in proficiency between the two testing occasions than younger respondents or those whose first language is not English.</w:t>
      </w:r>
    </w:p>
    <w:p w14:paraId="34A6FD8D" w14:textId="387F1542" w:rsidR="008E3635" w:rsidRPr="00277BEC" w:rsidRDefault="008E3635" w:rsidP="00C24414">
      <w:pPr>
        <w:pStyle w:val="BodyText"/>
        <w:jc w:val="left"/>
        <w:rPr>
          <w:rFonts w:ascii="Arial" w:hAnsi="Arial" w:cs="Arial"/>
        </w:rPr>
      </w:pPr>
      <w:r w:rsidRPr="00277BEC">
        <w:rPr>
          <w:rFonts w:ascii="Arial" w:hAnsi="Arial" w:cs="Arial"/>
        </w:rPr>
        <w:t xml:space="preserve">Both studies are limited by the fact that ALL reading actually comprises two scales: </w:t>
      </w:r>
      <w:r w:rsidRPr="00277BEC">
        <w:rPr>
          <w:rFonts w:ascii="Arial" w:hAnsi="Arial" w:cs="Arial"/>
          <w:i/>
        </w:rPr>
        <w:t>prose</w:t>
      </w:r>
      <w:r w:rsidRPr="00277BEC">
        <w:rPr>
          <w:rFonts w:ascii="Arial" w:hAnsi="Arial" w:cs="Arial"/>
        </w:rPr>
        <w:t xml:space="preserve"> and </w:t>
      </w:r>
      <w:r w:rsidRPr="00277BEC">
        <w:rPr>
          <w:rFonts w:ascii="Arial" w:hAnsi="Arial" w:cs="Arial"/>
          <w:i/>
        </w:rPr>
        <w:t>document</w:t>
      </w:r>
      <w:r w:rsidRPr="00277BEC">
        <w:rPr>
          <w:rFonts w:ascii="Arial" w:hAnsi="Arial" w:cs="Arial"/>
        </w:rPr>
        <w:t xml:space="preserve"> </w:t>
      </w:r>
      <w:r w:rsidRPr="00277BEC">
        <w:rPr>
          <w:rFonts w:ascii="Arial" w:hAnsi="Arial" w:cs="Arial"/>
          <w:i/>
        </w:rPr>
        <w:t>literacy</w:t>
      </w:r>
      <w:r w:rsidR="007A2F7D" w:rsidRPr="00277BEC">
        <w:rPr>
          <w:rFonts w:ascii="Arial" w:hAnsi="Arial" w:cs="Arial"/>
        </w:rPr>
        <w:t xml:space="preserve">. </w:t>
      </w:r>
      <w:r w:rsidRPr="00277BEC">
        <w:rPr>
          <w:rFonts w:ascii="Arial" w:hAnsi="Arial" w:cs="Arial"/>
        </w:rPr>
        <w:t xml:space="preserve">There is no guarantee that both of these scales align in </w:t>
      </w:r>
      <w:r w:rsidR="00C16DA4" w:rsidRPr="00277BEC">
        <w:rPr>
          <w:rFonts w:ascii="Arial" w:hAnsi="Arial" w:cs="Arial"/>
        </w:rPr>
        <w:t>the same way to the reading</w:t>
      </w:r>
      <w:r w:rsidRPr="00277BEC">
        <w:rPr>
          <w:rFonts w:ascii="Arial" w:hAnsi="Arial" w:cs="Arial"/>
        </w:rPr>
        <w:t xml:space="preserve"> scale. </w:t>
      </w:r>
      <w:r w:rsidR="007C3B50" w:rsidRPr="00277BEC">
        <w:rPr>
          <w:rFonts w:ascii="Arial" w:hAnsi="Arial" w:cs="Arial"/>
        </w:rPr>
        <w:t xml:space="preserve">NZCER </w:t>
      </w:r>
      <w:r w:rsidRPr="00277BEC">
        <w:rPr>
          <w:rFonts w:ascii="Arial" w:hAnsi="Arial" w:cs="Arial"/>
        </w:rPr>
        <w:t xml:space="preserve">used items from both scales but noted that this approach yielded anomalies between the two sets of items, suggesting that the </w:t>
      </w:r>
      <w:r w:rsidRPr="00277BEC">
        <w:rPr>
          <w:rFonts w:ascii="Arial" w:hAnsi="Arial" w:cs="Arial"/>
          <w:i/>
        </w:rPr>
        <w:t>prose</w:t>
      </w:r>
      <w:r w:rsidRPr="00277BEC">
        <w:rPr>
          <w:rFonts w:ascii="Arial" w:hAnsi="Arial" w:cs="Arial"/>
        </w:rPr>
        <w:t xml:space="preserve"> and </w:t>
      </w:r>
      <w:r w:rsidRPr="00277BEC">
        <w:rPr>
          <w:rFonts w:ascii="Arial" w:hAnsi="Arial" w:cs="Arial"/>
          <w:i/>
        </w:rPr>
        <w:t>document literacy</w:t>
      </w:r>
      <w:r w:rsidRPr="00277BEC">
        <w:rPr>
          <w:rFonts w:ascii="Arial" w:hAnsi="Arial" w:cs="Arial"/>
        </w:rPr>
        <w:t xml:space="preserve"> scales do indeed align differently to the Assessment Tool’s reading scale. Earle used only the document literacy scale in the linear regression analysis used to align the two scales. </w:t>
      </w:r>
    </w:p>
    <w:p w14:paraId="0559E950" w14:textId="3DD67D89" w:rsidR="008E3635" w:rsidRPr="00277BEC" w:rsidRDefault="008E3635" w:rsidP="00C24414">
      <w:pPr>
        <w:pStyle w:val="BodyText"/>
        <w:jc w:val="left"/>
        <w:rPr>
          <w:rFonts w:ascii="Arial" w:hAnsi="Arial" w:cs="Arial"/>
        </w:rPr>
      </w:pPr>
      <w:r w:rsidRPr="00277BEC">
        <w:rPr>
          <w:rFonts w:ascii="Arial" w:hAnsi="Arial" w:cs="Arial"/>
        </w:rPr>
        <w:t xml:space="preserve">Bearing in mind the above discussion, there are at least three plausible sources of the discrepancy between the findings of </w:t>
      </w:r>
      <w:r w:rsidR="009478E2" w:rsidRPr="00277BEC">
        <w:rPr>
          <w:rFonts w:ascii="Arial" w:hAnsi="Arial" w:cs="Arial"/>
        </w:rPr>
        <w:t xml:space="preserve">NZCER </w:t>
      </w:r>
      <w:r w:rsidRPr="00277BEC">
        <w:rPr>
          <w:rFonts w:ascii="Arial" w:hAnsi="Arial" w:cs="Arial"/>
        </w:rPr>
        <w:t>(</w:t>
      </w:r>
      <w:r w:rsidR="008E09D2" w:rsidRPr="00277BEC">
        <w:rPr>
          <w:rFonts w:ascii="Arial" w:hAnsi="Arial" w:cs="Arial"/>
        </w:rPr>
        <w:t>2010a</w:t>
      </w:r>
      <w:r w:rsidR="009478E2" w:rsidRPr="00277BEC">
        <w:rPr>
          <w:rFonts w:ascii="Arial" w:hAnsi="Arial" w:cs="Arial"/>
        </w:rPr>
        <w:t xml:space="preserve">, </w:t>
      </w:r>
      <w:r w:rsidR="002A3F35" w:rsidRPr="00277BEC">
        <w:rPr>
          <w:rFonts w:ascii="Arial" w:hAnsi="Arial" w:cs="Arial"/>
        </w:rPr>
        <w:t>2010b</w:t>
      </w:r>
      <w:r w:rsidRPr="00277BEC">
        <w:rPr>
          <w:rFonts w:ascii="Arial" w:hAnsi="Arial" w:cs="Arial"/>
        </w:rPr>
        <w:t>) and Earle (2014). The first is that the difference in the item response models used to calibrate the ALL a</w:t>
      </w:r>
      <w:r w:rsidR="00C16DA4" w:rsidRPr="00277BEC">
        <w:rPr>
          <w:rFonts w:ascii="Arial" w:hAnsi="Arial" w:cs="Arial"/>
        </w:rPr>
        <w:t>nd the reading and numeracy</w:t>
      </w:r>
      <w:r w:rsidRPr="00277BEC">
        <w:rPr>
          <w:rFonts w:ascii="Arial" w:hAnsi="Arial" w:cs="Arial"/>
        </w:rPr>
        <w:t xml:space="preserve"> scales might have resulted in some misalignment in </w:t>
      </w:r>
      <w:r w:rsidR="009478E2" w:rsidRPr="00277BEC">
        <w:rPr>
          <w:rFonts w:ascii="Arial" w:hAnsi="Arial" w:cs="Arial"/>
        </w:rPr>
        <w:t xml:space="preserve">NZCER’s </w:t>
      </w:r>
      <w:r w:rsidRPr="00277BEC">
        <w:rPr>
          <w:rFonts w:ascii="Arial" w:hAnsi="Arial" w:cs="Arial"/>
        </w:rPr>
        <w:t xml:space="preserve">study. The second is that the delay between the collection of the ALL data and that of the </w:t>
      </w:r>
      <w:r w:rsidR="00C16DA4" w:rsidRPr="00277BEC">
        <w:rPr>
          <w:rFonts w:ascii="Arial" w:hAnsi="Arial" w:cs="Arial"/>
        </w:rPr>
        <w:t>Assessment T</w:t>
      </w:r>
      <w:r w:rsidRPr="00277BEC">
        <w:rPr>
          <w:rFonts w:ascii="Arial" w:hAnsi="Arial" w:cs="Arial"/>
        </w:rPr>
        <w:t xml:space="preserve">ool data in Earle’s study might have resulted in an over-estimate of the steps on the latter scales that are best-aligned with </w:t>
      </w:r>
      <w:r w:rsidR="008234DB" w:rsidRPr="00277BEC">
        <w:rPr>
          <w:rFonts w:ascii="Arial" w:hAnsi="Arial" w:cs="Arial"/>
        </w:rPr>
        <w:t>Level</w:t>
      </w:r>
      <w:r w:rsidRPr="00277BEC">
        <w:rPr>
          <w:rFonts w:ascii="Arial" w:hAnsi="Arial" w:cs="Arial"/>
        </w:rPr>
        <w:t xml:space="preserve"> 3 on the ALL scale. The third is that the exclusive use of the </w:t>
      </w:r>
      <w:r w:rsidRPr="00277BEC">
        <w:rPr>
          <w:rFonts w:ascii="Arial" w:hAnsi="Arial" w:cs="Arial"/>
          <w:i/>
        </w:rPr>
        <w:t>document literacy</w:t>
      </w:r>
      <w:r w:rsidRPr="00277BEC">
        <w:rPr>
          <w:rFonts w:ascii="Arial" w:hAnsi="Arial" w:cs="Arial"/>
        </w:rPr>
        <w:t xml:space="preserve"> data by Earle might have resulted in the different estimates for the learning progression step best aligned with ALL reading </w:t>
      </w:r>
      <w:r w:rsidR="008234DB" w:rsidRPr="00277BEC">
        <w:rPr>
          <w:rFonts w:ascii="Arial" w:hAnsi="Arial" w:cs="Arial"/>
        </w:rPr>
        <w:t>Level</w:t>
      </w:r>
      <w:r w:rsidRPr="00277BEC">
        <w:rPr>
          <w:rFonts w:ascii="Arial" w:hAnsi="Arial" w:cs="Arial"/>
        </w:rPr>
        <w:t xml:space="preserve"> 3.</w:t>
      </w:r>
    </w:p>
    <w:p w14:paraId="5AC26D0C" w14:textId="7BB7D1CE" w:rsidR="00F325FD" w:rsidRPr="00277BEC" w:rsidRDefault="008E3635" w:rsidP="00C24414">
      <w:pPr>
        <w:pStyle w:val="BodyText"/>
        <w:jc w:val="left"/>
        <w:rPr>
          <w:rFonts w:ascii="Arial" w:hAnsi="Arial" w:cs="Arial"/>
        </w:rPr>
      </w:pPr>
      <w:r w:rsidRPr="00277BEC">
        <w:rPr>
          <w:rFonts w:ascii="Arial" w:hAnsi="Arial" w:cs="Arial"/>
        </w:rPr>
        <w:t>In the present work, we have decided to adopt</w:t>
      </w:r>
      <w:r w:rsidR="00F325FD" w:rsidRPr="00277BEC">
        <w:rPr>
          <w:rFonts w:ascii="Arial" w:hAnsi="Arial" w:cs="Arial"/>
        </w:rPr>
        <w:t xml:space="preserve"> conservative </w:t>
      </w:r>
      <w:r w:rsidR="00045626" w:rsidRPr="00277BEC">
        <w:rPr>
          <w:rFonts w:ascii="Arial" w:hAnsi="Arial" w:cs="Arial"/>
        </w:rPr>
        <w:t>alignments,</w:t>
      </w:r>
      <w:r w:rsidR="00F325FD" w:rsidRPr="00277BEC">
        <w:rPr>
          <w:rFonts w:ascii="Arial" w:hAnsi="Arial" w:cs="Arial"/>
        </w:rPr>
        <w:t xml:space="preserve"> as we believe this will provide the best-case scenario in terms of the proportions of students achieving the various credentials of interest, </w:t>
      </w:r>
      <w:proofErr w:type="gramStart"/>
      <w:r w:rsidR="00F325FD" w:rsidRPr="00277BEC">
        <w:rPr>
          <w:rFonts w:ascii="Arial" w:hAnsi="Arial" w:cs="Arial"/>
        </w:rPr>
        <w:t>who</w:t>
      </w:r>
      <w:proofErr w:type="gramEnd"/>
      <w:r w:rsidR="00F325FD" w:rsidRPr="00277BEC">
        <w:rPr>
          <w:rFonts w:ascii="Arial" w:hAnsi="Arial" w:cs="Arial"/>
        </w:rPr>
        <w:t xml:space="preserve"> are operating at or above the level needed to operate in an </w:t>
      </w:r>
      <w:r w:rsidR="00A368A5" w:rsidRPr="00277BEC">
        <w:rPr>
          <w:rFonts w:ascii="Arial" w:hAnsi="Arial" w:cs="Arial"/>
        </w:rPr>
        <w:t>information-rich</w:t>
      </w:r>
      <w:r w:rsidR="00F325FD" w:rsidRPr="00277BEC">
        <w:rPr>
          <w:rFonts w:ascii="Arial" w:hAnsi="Arial" w:cs="Arial"/>
        </w:rPr>
        <w:t xml:space="preserve"> society. </w:t>
      </w:r>
      <w:r w:rsidR="00045626" w:rsidRPr="00277BEC">
        <w:rPr>
          <w:rFonts w:ascii="Arial" w:hAnsi="Arial" w:cs="Arial"/>
        </w:rPr>
        <w:t xml:space="preserve">In numeracy this means we have equated ALL Level 3 to </w:t>
      </w:r>
      <w:r w:rsidR="00C24414">
        <w:rPr>
          <w:rFonts w:ascii="Arial" w:hAnsi="Arial" w:cs="Arial"/>
        </w:rPr>
        <w:t>S</w:t>
      </w:r>
      <w:r w:rsidR="00045626" w:rsidRPr="00277BEC">
        <w:rPr>
          <w:rFonts w:ascii="Arial" w:hAnsi="Arial" w:cs="Arial"/>
        </w:rPr>
        <w:t xml:space="preserve">tep 5 of the numeracy learning progressions. In the case of the literacy data, we decided on a compromise between Earle’s view that ALL Level 3 is equated to the upper range of step 4 on the reading learning progressions, and NZCER’s view that the alignment falls in the </w:t>
      </w:r>
      <w:r w:rsidR="00C24414">
        <w:rPr>
          <w:rFonts w:ascii="Arial" w:hAnsi="Arial" w:cs="Arial"/>
        </w:rPr>
        <w:t>S</w:t>
      </w:r>
      <w:r w:rsidR="00045626" w:rsidRPr="00277BEC">
        <w:rPr>
          <w:rFonts w:ascii="Arial" w:hAnsi="Arial" w:cs="Arial"/>
        </w:rPr>
        <w:t>tep 3</w:t>
      </w:r>
      <w:r w:rsidR="00C24414">
        <w:rPr>
          <w:rFonts w:ascii="Arial" w:hAnsi="Arial" w:cs="Arial"/>
        </w:rPr>
        <w:t xml:space="preserve"> </w:t>
      </w:r>
      <w:r w:rsidR="000C0266">
        <w:rPr>
          <w:rFonts w:ascii="Arial" w:hAnsi="Arial" w:cs="Arial"/>
        </w:rPr>
        <w:t>to</w:t>
      </w:r>
      <w:r w:rsidR="00C24414">
        <w:rPr>
          <w:rFonts w:ascii="Arial" w:hAnsi="Arial" w:cs="Arial"/>
        </w:rPr>
        <w:t xml:space="preserve"> </w:t>
      </w:r>
      <w:r w:rsidR="00045626" w:rsidRPr="00277BEC">
        <w:rPr>
          <w:rFonts w:ascii="Arial" w:hAnsi="Arial" w:cs="Arial"/>
        </w:rPr>
        <w:t xml:space="preserve">4 range. Thus for the purposes </w:t>
      </w:r>
      <w:r w:rsidR="00045626" w:rsidRPr="00277BEC">
        <w:rPr>
          <w:rFonts w:ascii="Arial" w:hAnsi="Arial" w:cs="Arial"/>
        </w:rPr>
        <w:lastRenderedPageBreak/>
        <w:t xml:space="preserve">of the present work we equate ALL reading Level 3 with </w:t>
      </w:r>
      <w:r w:rsidR="00C24414">
        <w:rPr>
          <w:rFonts w:ascii="Arial" w:hAnsi="Arial" w:cs="Arial"/>
        </w:rPr>
        <w:t>S</w:t>
      </w:r>
      <w:r w:rsidR="00045626" w:rsidRPr="00277BEC">
        <w:rPr>
          <w:rFonts w:ascii="Arial" w:hAnsi="Arial" w:cs="Arial"/>
        </w:rPr>
        <w:t xml:space="preserve">tep 4 of the reading learning progressions. </w:t>
      </w:r>
      <w:r w:rsidR="00F325FD" w:rsidRPr="00277BEC">
        <w:rPr>
          <w:rFonts w:ascii="Arial" w:hAnsi="Arial" w:cs="Arial"/>
        </w:rPr>
        <w:t>These alignments are also consistent with the NCEA literacy and numeracy requirements described in the following section.</w:t>
      </w:r>
    </w:p>
    <w:p w14:paraId="33E62345" w14:textId="43EC567D" w:rsidR="008E3635" w:rsidRPr="00277BEC" w:rsidRDefault="008E3635" w:rsidP="00C24414">
      <w:pPr>
        <w:pStyle w:val="BodyText"/>
        <w:jc w:val="left"/>
        <w:rPr>
          <w:rFonts w:ascii="Arial" w:hAnsi="Arial" w:cs="Arial"/>
        </w:rPr>
      </w:pPr>
      <w:r w:rsidRPr="00277BEC">
        <w:rPr>
          <w:rFonts w:ascii="Arial" w:hAnsi="Arial" w:cs="Arial"/>
        </w:rPr>
        <w:t xml:space="preserve">NZQA have positioned the new unit and achievement standards pathways to the literacy and numeracy requirements differently. The unit standards were developed to meet particular steps of the learning progressions. The numeracy unit standards are aligned with </w:t>
      </w:r>
      <w:r w:rsidR="00C24414">
        <w:rPr>
          <w:rFonts w:ascii="Arial" w:hAnsi="Arial" w:cs="Arial"/>
        </w:rPr>
        <w:t>S</w:t>
      </w:r>
      <w:r w:rsidR="000B2BBD" w:rsidRPr="00277BEC">
        <w:rPr>
          <w:rFonts w:ascii="Arial" w:hAnsi="Arial" w:cs="Arial"/>
        </w:rPr>
        <w:t>tep</w:t>
      </w:r>
      <w:r w:rsidRPr="00277BEC">
        <w:rPr>
          <w:rFonts w:ascii="Arial" w:hAnsi="Arial" w:cs="Arial"/>
        </w:rPr>
        <w:t xml:space="preserve"> 5 of the numeracy progressions, and the literacy unit standards are aligned with </w:t>
      </w:r>
      <w:r w:rsidR="00C24414">
        <w:rPr>
          <w:rFonts w:ascii="Arial" w:hAnsi="Arial" w:cs="Arial"/>
        </w:rPr>
        <w:t>S</w:t>
      </w:r>
      <w:r w:rsidRPr="00277BEC">
        <w:rPr>
          <w:rFonts w:ascii="Arial" w:hAnsi="Arial" w:cs="Arial"/>
        </w:rPr>
        <w:t xml:space="preserve">tep 4 of the reading progressions </w:t>
      </w:r>
      <w:r w:rsidR="00E15BBD" w:rsidRPr="00277BEC">
        <w:rPr>
          <w:rFonts w:ascii="Arial" w:hAnsi="Arial" w:cs="Arial"/>
        </w:rPr>
        <w:t>(</w:t>
      </w:r>
      <w:r w:rsidR="006C6988" w:rsidRPr="00277BEC">
        <w:rPr>
          <w:rFonts w:ascii="Arial" w:hAnsi="Arial" w:cs="Arial"/>
        </w:rPr>
        <w:t xml:space="preserve">NZQA, </w:t>
      </w:r>
      <w:proofErr w:type="spellStart"/>
      <w:r w:rsidR="006C6988" w:rsidRPr="00277BEC">
        <w:rPr>
          <w:rFonts w:ascii="Arial" w:hAnsi="Arial" w:cs="Arial"/>
        </w:rPr>
        <w:t>n.d.a</w:t>
      </w:r>
      <w:proofErr w:type="spellEnd"/>
      <w:r w:rsidR="00E15BBD" w:rsidRPr="00277BEC">
        <w:rPr>
          <w:rFonts w:ascii="Arial" w:hAnsi="Arial" w:cs="Arial"/>
        </w:rPr>
        <w:t xml:space="preserve">). </w:t>
      </w:r>
      <w:r w:rsidR="00B24797" w:rsidRPr="00277BEC">
        <w:rPr>
          <w:rFonts w:ascii="Arial" w:hAnsi="Arial" w:cs="Arial"/>
        </w:rPr>
        <w:t>On the other hand</w:t>
      </w:r>
      <w:r w:rsidRPr="00277BEC">
        <w:rPr>
          <w:rFonts w:ascii="Arial" w:hAnsi="Arial" w:cs="Arial"/>
        </w:rPr>
        <w:t xml:space="preserve">, the achievement standards are designed to ensure students are able “to meet the demands of” </w:t>
      </w:r>
      <w:r w:rsidR="008234DB" w:rsidRPr="00277BEC">
        <w:rPr>
          <w:rFonts w:ascii="Arial" w:hAnsi="Arial" w:cs="Arial"/>
        </w:rPr>
        <w:t>Level</w:t>
      </w:r>
      <w:r w:rsidRPr="00277BEC">
        <w:rPr>
          <w:rFonts w:ascii="Arial" w:hAnsi="Arial" w:cs="Arial"/>
        </w:rPr>
        <w:t xml:space="preserve"> 6 of the </w:t>
      </w:r>
      <w:r w:rsidR="000B252B" w:rsidRPr="00277BEC">
        <w:rPr>
          <w:rFonts w:ascii="Arial" w:hAnsi="Arial" w:cs="Arial"/>
        </w:rPr>
        <w:t>N</w:t>
      </w:r>
      <w:r w:rsidR="00195A08" w:rsidRPr="00277BEC">
        <w:rPr>
          <w:rFonts w:ascii="Arial" w:hAnsi="Arial" w:cs="Arial"/>
        </w:rPr>
        <w:t xml:space="preserve">ew </w:t>
      </w:r>
      <w:r w:rsidR="000B252B" w:rsidRPr="00277BEC">
        <w:rPr>
          <w:rFonts w:ascii="Arial" w:hAnsi="Arial" w:cs="Arial"/>
        </w:rPr>
        <w:t>Z</w:t>
      </w:r>
      <w:r w:rsidR="00195A08" w:rsidRPr="00277BEC">
        <w:rPr>
          <w:rFonts w:ascii="Arial" w:hAnsi="Arial" w:cs="Arial"/>
        </w:rPr>
        <w:t xml:space="preserve">ealand </w:t>
      </w:r>
      <w:r w:rsidR="000B252B" w:rsidRPr="00277BEC">
        <w:rPr>
          <w:rFonts w:ascii="Arial" w:hAnsi="Arial" w:cs="Arial"/>
        </w:rPr>
        <w:t>C</w:t>
      </w:r>
      <w:r w:rsidR="00195A08" w:rsidRPr="00277BEC">
        <w:rPr>
          <w:rFonts w:ascii="Arial" w:hAnsi="Arial" w:cs="Arial"/>
        </w:rPr>
        <w:t>urriculum”</w:t>
      </w:r>
      <w:r w:rsidR="00F03117" w:rsidRPr="00277BEC">
        <w:rPr>
          <w:rFonts w:ascii="Arial" w:hAnsi="Arial" w:cs="Arial"/>
        </w:rPr>
        <w:t xml:space="preserve"> (</w:t>
      </w:r>
      <w:r w:rsidR="006C6988" w:rsidRPr="00277BEC">
        <w:rPr>
          <w:rFonts w:ascii="Arial" w:hAnsi="Arial" w:cs="Arial"/>
        </w:rPr>
        <w:t xml:space="preserve">NZQA, </w:t>
      </w:r>
      <w:proofErr w:type="spellStart"/>
      <w:r w:rsidR="006C6988" w:rsidRPr="00277BEC">
        <w:rPr>
          <w:rFonts w:ascii="Arial" w:hAnsi="Arial" w:cs="Arial"/>
        </w:rPr>
        <w:t>n.d.b</w:t>
      </w:r>
      <w:proofErr w:type="spellEnd"/>
      <w:r w:rsidR="00F03117" w:rsidRPr="00277BEC">
        <w:rPr>
          <w:rFonts w:ascii="Arial" w:hAnsi="Arial" w:cs="Arial"/>
        </w:rPr>
        <w:t xml:space="preserve">). </w:t>
      </w:r>
      <w:r w:rsidR="003462DD" w:rsidRPr="00277BEC">
        <w:rPr>
          <w:rFonts w:ascii="Arial" w:hAnsi="Arial" w:cs="Arial"/>
        </w:rPr>
        <w:t xml:space="preserve">Note that these alignments are not empirical. </w:t>
      </w:r>
    </w:p>
    <w:p w14:paraId="1EE3D89F" w14:textId="77777777" w:rsidR="00F36E11" w:rsidRPr="00277BEC" w:rsidRDefault="00F36E11" w:rsidP="00C24414">
      <w:pPr>
        <w:pStyle w:val="Heading2"/>
        <w:jc w:val="left"/>
        <w:rPr>
          <w:rFonts w:cs="Arial"/>
        </w:rPr>
      </w:pPr>
      <w:bookmarkStart w:id="42" w:name="_Toc264282845"/>
      <w:bookmarkStart w:id="43" w:name="_Toc417920182"/>
      <w:r w:rsidRPr="00277BEC">
        <w:rPr>
          <w:rFonts w:cs="Arial"/>
        </w:rPr>
        <w:t>Summarising the alignments</w:t>
      </w:r>
      <w:bookmarkEnd w:id="42"/>
      <w:bookmarkEnd w:id="43"/>
      <w:r w:rsidRPr="00277BEC">
        <w:rPr>
          <w:rFonts w:cs="Arial"/>
        </w:rPr>
        <w:t xml:space="preserve"> </w:t>
      </w:r>
    </w:p>
    <w:p w14:paraId="25FA1B56" w14:textId="77777777" w:rsidR="00F36E11" w:rsidRPr="00277BEC" w:rsidRDefault="00F36E11" w:rsidP="00C24414">
      <w:pPr>
        <w:pStyle w:val="BodyText"/>
        <w:jc w:val="left"/>
        <w:rPr>
          <w:rFonts w:ascii="Arial" w:hAnsi="Arial" w:cs="Arial"/>
        </w:rPr>
      </w:pPr>
      <w:r w:rsidRPr="00277BEC">
        <w:rPr>
          <w:rFonts w:ascii="Arial" w:hAnsi="Arial" w:cs="Arial"/>
        </w:rPr>
        <w:t xml:space="preserve">Figures 2 and 3 </w:t>
      </w:r>
      <w:proofErr w:type="gramStart"/>
      <w:r w:rsidRPr="00277BEC">
        <w:rPr>
          <w:rFonts w:ascii="Arial" w:hAnsi="Arial" w:cs="Arial"/>
        </w:rPr>
        <w:t>position</w:t>
      </w:r>
      <w:proofErr w:type="gramEnd"/>
      <w:r w:rsidRPr="00277BEC">
        <w:rPr>
          <w:rFonts w:ascii="Arial" w:hAnsi="Arial" w:cs="Arial"/>
        </w:rPr>
        <w:t xml:space="preserve"> the Assessment Tool scale as the lynchpin to connect the two alignments of ALL with the learning progressions</w:t>
      </w:r>
      <w:r w:rsidR="007A2F7D" w:rsidRPr="00277BEC">
        <w:rPr>
          <w:rFonts w:ascii="Arial" w:hAnsi="Arial" w:cs="Arial"/>
        </w:rPr>
        <w:t xml:space="preserve">. </w:t>
      </w:r>
      <w:r w:rsidRPr="00277BEC">
        <w:rPr>
          <w:rFonts w:ascii="Arial" w:hAnsi="Arial" w:cs="Arial"/>
        </w:rPr>
        <w:t>Also depicted in the figures is the level of the NCEA literacy or numeracy re</w:t>
      </w:r>
      <w:r w:rsidR="00EE767E" w:rsidRPr="00277BEC">
        <w:rPr>
          <w:rFonts w:ascii="Arial" w:hAnsi="Arial" w:cs="Arial"/>
        </w:rPr>
        <w:t>quirement as determined by the unit s</w:t>
      </w:r>
      <w:r w:rsidRPr="00277BEC">
        <w:rPr>
          <w:rFonts w:ascii="Arial" w:hAnsi="Arial" w:cs="Arial"/>
        </w:rPr>
        <w:t xml:space="preserve">tandard </w:t>
      </w:r>
      <w:proofErr w:type="gramStart"/>
      <w:r w:rsidRPr="00277BEC">
        <w:rPr>
          <w:rFonts w:ascii="Arial" w:hAnsi="Arial" w:cs="Arial"/>
        </w:rPr>
        <w:t>pathway.</w:t>
      </w:r>
      <w:proofErr w:type="gramEnd"/>
      <w:r w:rsidRPr="00277BEC">
        <w:rPr>
          <w:rFonts w:ascii="Arial" w:hAnsi="Arial" w:cs="Arial"/>
        </w:rPr>
        <w:t xml:space="preserve"> </w:t>
      </w:r>
    </w:p>
    <w:p w14:paraId="06F78857" w14:textId="4EF7A3E8" w:rsidR="00F36E11" w:rsidRPr="00277BEC" w:rsidRDefault="00F36E11" w:rsidP="00C24414">
      <w:pPr>
        <w:pStyle w:val="BodyText"/>
        <w:jc w:val="left"/>
        <w:rPr>
          <w:rFonts w:ascii="Arial" w:hAnsi="Arial" w:cs="Arial"/>
        </w:rPr>
      </w:pPr>
      <w:r w:rsidRPr="00277BEC">
        <w:rPr>
          <w:rFonts w:ascii="Arial" w:hAnsi="Arial" w:cs="Arial"/>
        </w:rPr>
        <w:t xml:space="preserve">Both figures illustrate that Earle </w:t>
      </w:r>
      <w:r w:rsidR="00C24414">
        <w:rPr>
          <w:rFonts w:ascii="Arial" w:hAnsi="Arial" w:cs="Arial"/>
        </w:rPr>
        <w:t xml:space="preserve">(2014) </w:t>
      </w:r>
      <w:r w:rsidRPr="00277BEC">
        <w:rPr>
          <w:rFonts w:ascii="Arial" w:hAnsi="Arial" w:cs="Arial"/>
        </w:rPr>
        <w:t xml:space="preserve">estimates a </w:t>
      </w:r>
      <w:r w:rsidR="0067269D" w:rsidRPr="00277BEC">
        <w:rPr>
          <w:rFonts w:ascii="Arial" w:hAnsi="Arial" w:cs="Arial"/>
        </w:rPr>
        <w:t xml:space="preserve">higher </w:t>
      </w:r>
      <w:r w:rsidRPr="00277BEC">
        <w:rPr>
          <w:rFonts w:ascii="Arial" w:hAnsi="Arial" w:cs="Arial"/>
        </w:rPr>
        <w:t>positioning of the ALL levels in relation to the learning progression</w:t>
      </w:r>
      <w:r w:rsidR="0067269D" w:rsidRPr="00277BEC">
        <w:rPr>
          <w:rFonts w:ascii="Arial" w:hAnsi="Arial" w:cs="Arial"/>
        </w:rPr>
        <w:t xml:space="preserve"> </w:t>
      </w:r>
      <w:r w:rsidRPr="00277BEC">
        <w:rPr>
          <w:rFonts w:ascii="Arial" w:hAnsi="Arial" w:cs="Arial"/>
        </w:rPr>
        <w:t xml:space="preserve">steps than </w:t>
      </w:r>
      <w:r w:rsidR="007C3B50" w:rsidRPr="00277BEC">
        <w:rPr>
          <w:rFonts w:ascii="Arial" w:hAnsi="Arial" w:cs="Arial"/>
        </w:rPr>
        <w:t>NZCER</w:t>
      </w:r>
      <w:r w:rsidR="007A2F7D" w:rsidRPr="00277BEC">
        <w:rPr>
          <w:rFonts w:ascii="Arial" w:hAnsi="Arial" w:cs="Arial"/>
        </w:rPr>
        <w:t xml:space="preserve">. </w:t>
      </w:r>
      <w:r w:rsidRPr="00277BEC">
        <w:rPr>
          <w:rFonts w:ascii="Arial" w:hAnsi="Arial" w:cs="Arial"/>
        </w:rPr>
        <w:t xml:space="preserve">More specifically </w:t>
      </w:r>
      <w:r w:rsidR="007C3B50" w:rsidRPr="00277BEC">
        <w:rPr>
          <w:rFonts w:ascii="Arial" w:hAnsi="Arial" w:cs="Arial"/>
        </w:rPr>
        <w:t>NZCER</w:t>
      </w:r>
      <w:r w:rsidRPr="00277BEC">
        <w:rPr>
          <w:rFonts w:ascii="Arial" w:hAnsi="Arial" w:cs="Arial"/>
        </w:rPr>
        <w:t xml:space="preserve"> estimates that ALL 3 for numeracy is at lower </w:t>
      </w:r>
      <w:r w:rsidR="00C24414">
        <w:rPr>
          <w:rFonts w:ascii="Arial" w:hAnsi="Arial" w:cs="Arial"/>
        </w:rPr>
        <w:t>S</w:t>
      </w:r>
      <w:r w:rsidRPr="00277BEC">
        <w:rPr>
          <w:rFonts w:ascii="Arial" w:hAnsi="Arial" w:cs="Arial"/>
        </w:rPr>
        <w:t xml:space="preserve">tep 5 whereas Earle estimates that it is mid-way through </w:t>
      </w:r>
      <w:r w:rsidR="00C24414">
        <w:rPr>
          <w:rFonts w:ascii="Arial" w:hAnsi="Arial" w:cs="Arial"/>
        </w:rPr>
        <w:t>S</w:t>
      </w:r>
      <w:r w:rsidRPr="00277BEC">
        <w:rPr>
          <w:rFonts w:ascii="Arial" w:hAnsi="Arial" w:cs="Arial"/>
        </w:rPr>
        <w:t>tep 6</w:t>
      </w:r>
      <w:r w:rsidR="007A2F7D" w:rsidRPr="00277BEC">
        <w:rPr>
          <w:rFonts w:ascii="Arial" w:hAnsi="Arial" w:cs="Arial"/>
        </w:rPr>
        <w:t xml:space="preserve">. </w:t>
      </w:r>
      <w:r w:rsidRPr="00277BEC">
        <w:rPr>
          <w:rFonts w:ascii="Arial" w:hAnsi="Arial" w:cs="Arial"/>
        </w:rPr>
        <w:t xml:space="preserve">The comparison is less straightforward for reading because </w:t>
      </w:r>
      <w:r w:rsidR="007C3B50" w:rsidRPr="00277BEC">
        <w:rPr>
          <w:rFonts w:ascii="Arial" w:hAnsi="Arial" w:cs="Arial"/>
        </w:rPr>
        <w:t>NZCER</w:t>
      </w:r>
      <w:r w:rsidRPr="00277BEC">
        <w:rPr>
          <w:rFonts w:ascii="Arial" w:hAnsi="Arial" w:cs="Arial"/>
        </w:rPr>
        <w:t xml:space="preserve"> used overlapping ranges to link the ALL levels to the reading learning progressions</w:t>
      </w:r>
      <w:r w:rsidR="007A2F7D" w:rsidRPr="00277BEC">
        <w:rPr>
          <w:rFonts w:ascii="Arial" w:hAnsi="Arial" w:cs="Arial"/>
        </w:rPr>
        <w:t xml:space="preserve">. </w:t>
      </w:r>
      <w:r w:rsidRPr="00277BEC">
        <w:rPr>
          <w:rFonts w:ascii="Arial" w:hAnsi="Arial" w:cs="Arial"/>
        </w:rPr>
        <w:t xml:space="preserve">For reading Earle estimates that ALL </w:t>
      </w:r>
      <w:r w:rsidR="008234DB" w:rsidRPr="00277BEC">
        <w:rPr>
          <w:rFonts w:ascii="Arial" w:hAnsi="Arial" w:cs="Arial"/>
        </w:rPr>
        <w:t>Level</w:t>
      </w:r>
      <w:r w:rsidRPr="00277BEC">
        <w:rPr>
          <w:rFonts w:ascii="Arial" w:hAnsi="Arial" w:cs="Arial"/>
        </w:rPr>
        <w:t xml:space="preserve"> 3 is equated to the upper range of </w:t>
      </w:r>
      <w:r w:rsidR="00C24414">
        <w:rPr>
          <w:rFonts w:ascii="Arial" w:hAnsi="Arial" w:cs="Arial"/>
        </w:rPr>
        <w:t>S</w:t>
      </w:r>
      <w:r w:rsidRPr="00277BEC">
        <w:rPr>
          <w:rFonts w:ascii="Arial" w:hAnsi="Arial" w:cs="Arial"/>
        </w:rPr>
        <w:t xml:space="preserve">tep 4 on the reading learning progressions while </w:t>
      </w:r>
      <w:r w:rsidR="007C3B50" w:rsidRPr="00277BEC">
        <w:rPr>
          <w:rFonts w:ascii="Arial" w:hAnsi="Arial" w:cs="Arial"/>
        </w:rPr>
        <w:t>NZCER</w:t>
      </w:r>
      <w:r w:rsidRPr="00277BEC">
        <w:rPr>
          <w:rFonts w:ascii="Arial" w:hAnsi="Arial" w:cs="Arial"/>
        </w:rPr>
        <w:t xml:space="preserve"> estimates that ALL reading </w:t>
      </w:r>
      <w:r w:rsidR="008234DB" w:rsidRPr="00277BEC">
        <w:rPr>
          <w:rFonts w:ascii="Arial" w:hAnsi="Arial" w:cs="Arial"/>
        </w:rPr>
        <w:t>Level</w:t>
      </w:r>
      <w:r w:rsidRPr="00277BEC">
        <w:rPr>
          <w:rFonts w:ascii="Arial" w:hAnsi="Arial" w:cs="Arial"/>
        </w:rPr>
        <w:t xml:space="preserve">s 3 and 4 correspond to </w:t>
      </w:r>
      <w:r w:rsidR="00C24414">
        <w:rPr>
          <w:rFonts w:ascii="Arial" w:hAnsi="Arial" w:cs="Arial"/>
        </w:rPr>
        <w:t>S</w:t>
      </w:r>
      <w:r w:rsidRPr="00277BEC">
        <w:rPr>
          <w:rFonts w:ascii="Arial" w:hAnsi="Arial" w:cs="Arial"/>
        </w:rPr>
        <w:t>teps 3 to 5.</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624"/>
      </w:tblGrid>
      <w:tr w:rsidR="00F36E11" w:rsidRPr="00277BEC" w14:paraId="2ADAB5E0" w14:textId="77777777" w:rsidTr="006E19C5">
        <w:tc>
          <w:tcPr>
            <w:tcW w:w="8624" w:type="dxa"/>
          </w:tcPr>
          <w:p w14:paraId="73875BD3" w14:textId="0BC0D47F" w:rsidR="00F36E11" w:rsidRPr="00277BEC" w:rsidRDefault="00E05711" w:rsidP="006E670D">
            <w:pPr>
              <w:spacing w:line="240" w:lineRule="auto"/>
              <w:rPr>
                <w:rFonts w:ascii="Arial" w:hAnsi="Arial" w:cs="Arial"/>
              </w:rPr>
            </w:pPr>
            <w:r w:rsidRPr="00277BEC">
              <w:rPr>
                <w:rFonts w:ascii="Arial" w:hAnsi="Arial" w:cs="Arial"/>
                <w:noProof/>
                <w:lang w:val="en-NZ" w:eastAsia="en-NZ"/>
              </w:rPr>
              <mc:AlternateContent>
                <mc:Choice Requires="wps">
                  <w:drawing>
                    <wp:anchor distT="0" distB="0" distL="114300" distR="114300" simplePos="0" relativeHeight="251664384" behindDoc="0" locked="0" layoutInCell="1" allowOverlap="1" wp14:anchorId="1E40273A" wp14:editId="104A86F5">
                      <wp:simplePos x="0" y="0"/>
                      <wp:positionH relativeFrom="column">
                        <wp:posOffset>3639820</wp:posOffset>
                      </wp:positionH>
                      <wp:positionV relativeFrom="paragraph">
                        <wp:posOffset>1299210</wp:posOffset>
                      </wp:positionV>
                      <wp:extent cx="1764665" cy="685800"/>
                      <wp:effectExtent l="0" t="0" r="0" b="0"/>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5"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97318B" w14:textId="77777777" w:rsidR="000C0266" w:rsidRPr="006E670D" w:rsidRDefault="000C0266" w:rsidP="00F36E11">
                                  <w:pPr>
                                    <w:rPr>
                                      <w:rFonts w:asciiTheme="majorHAnsi" w:hAnsiTheme="majorHAnsi"/>
                                      <w:sz w:val="18"/>
                                      <w:szCs w:val="18"/>
                                    </w:rPr>
                                  </w:pPr>
                                  <w:r w:rsidRPr="006E670D">
                                    <w:rPr>
                                      <w:rFonts w:asciiTheme="majorHAnsi" w:hAnsiTheme="majorHAnsi"/>
                                      <w:sz w:val="18"/>
                                      <w:szCs w:val="18"/>
                                    </w:rPr>
                                    <w:t>Numeracy requirement for NCEA (US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86.6pt;margin-top:102.3pt;width:138.9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" filled="f" stroked="f">
                      <v:path arrowok="t"/>
                      <v:textbox>
                        <w:txbxContent>
                          <w:p w14:paraId="5697318B" w14:textId="77777777" w:rsidR="000C0266" w:rsidRPr="006E670D" w:rsidRDefault="000C0266" w:rsidP="00F36E11">
                            <w:pPr>
                              <w:rPr>
                                <w:rFonts w:asciiTheme="majorHAnsi" w:hAnsiTheme="majorHAnsi"/>
                                <w:sz w:val="18"/>
                                <w:szCs w:val="18"/>
                              </w:rPr>
                            </w:pPr>
                            <w:r w:rsidRPr="006E670D">
                              <w:rPr>
                                <w:rFonts w:asciiTheme="majorHAnsi" w:hAnsiTheme="majorHAnsi"/>
                                <w:sz w:val="18"/>
                                <w:szCs w:val="18"/>
                              </w:rPr>
                              <w:t>Numeracy requirement for NCEA (US pathway)</w:t>
                            </w:r>
                          </w:p>
                        </w:txbxContent>
                      </v:textbox>
                      <w10:wrap type="square"/>
                    </v:shape>
                  </w:pict>
                </mc:Fallback>
              </mc:AlternateContent>
            </w:r>
            <w:r w:rsidR="006B5049" w:rsidRPr="00277BEC">
              <w:rPr>
                <w:rFonts w:ascii="Arial" w:hAnsi="Arial" w:cs="Arial"/>
                <w:noProof/>
                <w:lang w:val="en-NZ" w:eastAsia="en-NZ"/>
              </w:rPr>
              <w:drawing>
                <wp:inline distT="0" distB="0" distL="0" distR="0" wp14:anchorId="7825DADA" wp14:editId="1E8D1256">
                  <wp:extent cx="3905934" cy="3203999"/>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2">
                            <a:extLst>
                              <a:ext uri="{28A0092B-C50C-407E-A947-70E740481C1C}">
                                <a14:useLocalDpi xmlns:a14="http://schemas.microsoft.com/office/drawing/2010/main" val="0"/>
                              </a:ext>
                            </a:extLst>
                          </a:blip>
                          <a:stretch>
                            <a:fillRect/>
                          </a:stretch>
                        </pic:blipFill>
                        <pic:spPr>
                          <a:xfrm>
                            <a:off x="0" y="0"/>
                            <a:ext cx="3905934" cy="3203999"/>
                          </a:xfrm>
                          <a:prstGeom prst="rect">
                            <a:avLst/>
                          </a:prstGeom>
                        </pic:spPr>
                      </pic:pic>
                    </a:graphicData>
                  </a:graphic>
                </wp:inline>
              </w:drawing>
            </w:r>
          </w:p>
        </w:tc>
      </w:tr>
    </w:tbl>
    <w:p w14:paraId="23800E8B" w14:textId="77777777" w:rsidR="00F36E11" w:rsidRPr="00277BEC" w:rsidRDefault="00F36E11" w:rsidP="00C24414">
      <w:pPr>
        <w:pStyle w:val="Caption"/>
        <w:jc w:val="left"/>
        <w:rPr>
          <w:rFonts w:cs="Arial"/>
        </w:rPr>
      </w:pPr>
      <w:bookmarkStart w:id="44" w:name="_Toc417920075"/>
      <w:r w:rsidRPr="00277BEC">
        <w:rPr>
          <w:rFonts w:cs="Arial"/>
          <w:b/>
        </w:rPr>
        <w:t xml:space="preserve">Figure </w:t>
      </w:r>
      <w:r w:rsidR="00D71DDD" w:rsidRPr="00277BEC">
        <w:rPr>
          <w:rFonts w:cs="Arial"/>
          <w:b/>
        </w:rPr>
        <w:fldChar w:fldCharType="begin"/>
      </w:r>
      <w:r w:rsidRPr="00277BEC">
        <w:rPr>
          <w:rFonts w:cs="Arial"/>
          <w:b/>
        </w:rPr>
        <w:instrText xml:space="preserve"> SEQ Figure \* ARABIC </w:instrText>
      </w:r>
      <w:r w:rsidR="00D71DDD" w:rsidRPr="00277BEC">
        <w:rPr>
          <w:rFonts w:cs="Arial"/>
          <w:b/>
        </w:rPr>
        <w:fldChar w:fldCharType="separate"/>
      </w:r>
      <w:r w:rsidR="00277BEC" w:rsidRPr="00277BEC">
        <w:rPr>
          <w:rFonts w:cs="Arial"/>
          <w:b/>
          <w:noProof/>
        </w:rPr>
        <w:t>2</w:t>
      </w:r>
      <w:r w:rsidR="00D71DDD" w:rsidRPr="00277BEC">
        <w:rPr>
          <w:rFonts w:cs="Arial"/>
          <w:b/>
        </w:rPr>
        <w:fldChar w:fldCharType="end"/>
      </w:r>
      <w:r w:rsidR="003B4238" w:rsidRPr="00277BEC">
        <w:rPr>
          <w:rFonts w:cs="Arial"/>
        </w:rPr>
        <w:t xml:space="preserve"> </w:t>
      </w:r>
      <w:r w:rsidRPr="00277BEC">
        <w:rPr>
          <w:rFonts w:cs="Arial"/>
        </w:rPr>
        <w:t>Using the numeracy scale to align the ALL levels to the steps of the learning progressions and the numeracy requirement for NCEA.</w:t>
      </w:r>
      <w:bookmarkEnd w:id="44"/>
    </w:p>
    <w:p w14:paraId="02BABEDF" w14:textId="77777777" w:rsidR="00F36E11" w:rsidRPr="00277BEC" w:rsidRDefault="00F36E11" w:rsidP="006E670D">
      <w:pPr>
        <w:spacing w:line="240" w:lineRule="auto"/>
        <w:rPr>
          <w:rFonts w:ascii="Arial" w:hAnsi="Arial" w:cs="Arial"/>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624"/>
      </w:tblGrid>
      <w:tr w:rsidR="00F36E11" w:rsidRPr="00277BEC" w14:paraId="15820062" w14:textId="77777777" w:rsidTr="006E19C5">
        <w:tc>
          <w:tcPr>
            <w:tcW w:w="8624" w:type="dxa"/>
          </w:tcPr>
          <w:p w14:paraId="5139125B" w14:textId="7FA4CB99" w:rsidR="00F36E11" w:rsidRPr="00277BEC" w:rsidRDefault="008E064A" w:rsidP="006E670D">
            <w:pPr>
              <w:spacing w:line="240" w:lineRule="auto"/>
              <w:rPr>
                <w:rFonts w:ascii="Arial" w:hAnsi="Arial" w:cs="Arial"/>
              </w:rPr>
            </w:pPr>
            <w:r w:rsidRPr="00277BEC">
              <w:rPr>
                <w:rFonts w:ascii="Arial" w:hAnsi="Arial" w:cs="Arial"/>
                <w:noProof/>
                <w:lang w:val="en-NZ" w:eastAsia="en-NZ"/>
              </w:rPr>
              <w:drawing>
                <wp:inline distT="0" distB="0" distL="0" distR="0" wp14:anchorId="4B6E4B03" wp14:editId="2505304E">
                  <wp:extent cx="3872608" cy="334800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3">
                            <a:extLst>
                              <a:ext uri="{28A0092B-C50C-407E-A947-70E740481C1C}">
                                <a14:useLocalDpi xmlns:a14="http://schemas.microsoft.com/office/drawing/2010/main" val="0"/>
                              </a:ext>
                            </a:extLst>
                          </a:blip>
                          <a:stretch>
                            <a:fillRect/>
                          </a:stretch>
                        </pic:blipFill>
                        <pic:spPr>
                          <a:xfrm>
                            <a:off x="0" y="0"/>
                            <a:ext cx="3872608" cy="3348000"/>
                          </a:xfrm>
                          <a:prstGeom prst="rect">
                            <a:avLst/>
                          </a:prstGeom>
                        </pic:spPr>
                      </pic:pic>
                    </a:graphicData>
                  </a:graphic>
                </wp:inline>
              </w:drawing>
            </w:r>
            <w:r w:rsidR="00E05711" w:rsidRPr="00277BEC">
              <w:rPr>
                <w:rFonts w:ascii="Arial" w:hAnsi="Arial" w:cs="Arial"/>
                <w:noProof/>
                <w:lang w:val="en-NZ" w:eastAsia="en-NZ"/>
              </w:rPr>
              <mc:AlternateContent>
                <mc:Choice Requires="wps">
                  <w:drawing>
                    <wp:anchor distT="0" distB="0" distL="114300" distR="114300" simplePos="0" relativeHeight="251666432" behindDoc="0" locked="0" layoutInCell="1" allowOverlap="1" wp14:anchorId="1C76721A" wp14:editId="4A811E9A">
                      <wp:simplePos x="0" y="0"/>
                      <wp:positionH relativeFrom="column">
                        <wp:posOffset>3639820</wp:posOffset>
                      </wp:positionH>
                      <wp:positionV relativeFrom="paragraph">
                        <wp:posOffset>1377315</wp:posOffset>
                      </wp:positionV>
                      <wp:extent cx="1764665" cy="6858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5"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095889" w14:textId="77777777" w:rsidR="000C0266" w:rsidRPr="00A33B10" w:rsidRDefault="000C0266" w:rsidP="00F36E11">
                                  <w:pPr>
                                    <w:rPr>
                                      <w:rFonts w:asciiTheme="majorHAnsi" w:hAnsiTheme="majorHAnsi"/>
                                      <w:sz w:val="18"/>
                                      <w:szCs w:val="18"/>
                                    </w:rPr>
                                  </w:pPr>
                                  <w:r w:rsidRPr="00A33B10">
                                    <w:rPr>
                                      <w:rFonts w:asciiTheme="majorHAnsi" w:hAnsiTheme="majorHAnsi"/>
                                      <w:sz w:val="18"/>
                                      <w:szCs w:val="18"/>
                                    </w:rPr>
                                    <w:t>Literacy requirement for NCEA (US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286.6pt;margin-top:108.45pt;width:138.9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" filled="f" stroked="f">
                      <v:path arrowok="t"/>
                      <v:textbox>
                        <w:txbxContent>
                          <w:p w14:paraId="22095889" w14:textId="77777777" w:rsidR="000C0266" w:rsidRPr="00A33B10" w:rsidRDefault="000C0266" w:rsidP="00F36E11">
                            <w:pPr>
                              <w:rPr>
                                <w:rFonts w:asciiTheme="majorHAnsi" w:hAnsiTheme="majorHAnsi"/>
                                <w:sz w:val="18"/>
                                <w:szCs w:val="18"/>
                              </w:rPr>
                            </w:pPr>
                            <w:r w:rsidRPr="00A33B10">
                              <w:rPr>
                                <w:rFonts w:asciiTheme="majorHAnsi" w:hAnsiTheme="majorHAnsi"/>
                                <w:sz w:val="18"/>
                                <w:szCs w:val="18"/>
                              </w:rPr>
                              <w:t>Literacy requirement for NCEA (US pathway)</w:t>
                            </w:r>
                          </w:p>
                        </w:txbxContent>
                      </v:textbox>
                      <w10:wrap type="square"/>
                    </v:shape>
                  </w:pict>
                </mc:Fallback>
              </mc:AlternateContent>
            </w:r>
          </w:p>
        </w:tc>
      </w:tr>
    </w:tbl>
    <w:p w14:paraId="65224144" w14:textId="48DF5B36" w:rsidR="001076D0" w:rsidRPr="00277BEC" w:rsidRDefault="00F36E11" w:rsidP="00165DF3">
      <w:pPr>
        <w:pStyle w:val="Caption"/>
        <w:jc w:val="left"/>
        <w:rPr>
          <w:rFonts w:cs="Arial"/>
        </w:rPr>
      </w:pPr>
      <w:bookmarkStart w:id="45" w:name="_Toc417920076"/>
      <w:r w:rsidRPr="00277BEC">
        <w:rPr>
          <w:rFonts w:cs="Arial"/>
          <w:b/>
        </w:rPr>
        <w:t xml:space="preserve">Figure </w:t>
      </w:r>
      <w:r w:rsidR="00D71DDD" w:rsidRPr="00277BEC">
        <w:rPr>
          <w:rFonts w:cs="Arial"/>
          <w:b/>
        </w:rPr>
        <w:fldChar w:fldCharType="begin"/>
      </w:r>
      <w:r w:rsidRPr="00277BEC">
        <w:rPr>
          <w:rFonts w:cs="Arial"/>
          <w:b/>
        </w:rPr>
        <w:instrText xml:space="preserve"> SEQ Figure \* ARABIC </w:instrText>
      </w:r>
      <w:r w:rsidR="00D71DDD" w:rsidRPr="00277BEC">
        <w:rPr>
          <w:rFonts w:cs="Arial"/>
          <w:b/>
        </w:rPr>
        <w:fldChar w:fldCharType="separate"/>
      </w:r>
      <w:r w:rsidR="00277BEC" w:rsidRPr="00277BEC">
        <w:rPr>
          <w:rFonts w:cs="Arial"/>
          <w:b/>
          <w:noProof/>
        </w:rPr>
        <w:t>3</w:t>
      </w:r>
      <w:r w:rsidR="00D71DDD" w:rsidRPr="00277BEC">
        <w:rPr>
          <w:rFonts w:cs="Arial"/>
          <w:b/>
        </w:rPr>
        <w:fldChar w:fldCharType="end"/>
      </w:r>
      <w:r w:rsidRPr="00277BEC">
        <w:rPr>
          <w:rFonts w:cs="Arial"/>
        </w:rPr>
        <w:t xml:space="preserve"> Using the reading scale to align the ALL levels to the </w:t>
      </w:r>
      <w:r w:rsidR="00043FC0" w:rsidRPr="00277BEC">
        <w:rPr>
          <w:rFonts w:cs="Arial"/>
        </w:rPr>
        <w:t>steps of the learning progressions</w:t>
      </w:r>
      <w:r w:rsidRPr="00277BEC">
        <w:rPr>
          <w:rFonts w:cs="Arial"/>
        </w:rPr>
        <w:t xml:space="preserve"> and the literacy requirement for NCEA.</w:t>
      </w:r>
      <w:bookmarkEnd w:id="45"/>
    </w:p>
    <w:p w14:paraId="3BBB0B19" w14:textId="77777777" w:rsidR="001076D0" w:rsidRPr="00277BEC" w:rsidRDefault="001076D0">
      <w:pPr>
        <w:spacing w:after="0" w:line="240" w:lineRule="auto"/>
        <w:jc w:val="left"/>
        <w:rPr>
          <w:rFonts w:ascii="Arial" w:hAnsi="Arial" w:cs="Arial"/>
          <w:bCs w:val="0"/>
          <w:color w:val="000000" w:themeColor="text1"/>
          <w:sz w:val="18"/>
          <w:szCs w:val="18"/>
        </w:rPr>
      </w:pPr>
      <w:r w:rsidRPr="00277BEC">
        <w:rPr>
          <w:rFonts w:ascii="Arial" w:hAnsi="Arial" w:cs="Arial"/>
        </w:rPr>
        <w:br w:type="page"/>
      </w:r>
    </w:p>
    <w:p w14:paraId="17A3D161" w14:textId="77777777" w:rsidR="00250BCB" w:rsidRPr="00277BEC" w:rsidRDefault="00250BCB" w:rsidP="00250BCB">
      <w:pPr>
        <w:pStyle w:val="Heading1"/>
        <w:rPr>
          <w:rFonts w:cs="Arial"/>
        </w:rPr>
      </w:pPr>
      <w:bookmarkStart w:id="46" w:name="_Toc417920183"/>
      <w:r w:rsidRPr="00277BEC">
        <w:rPr>
          <w:rFonts w:cs="Arial"/>
        </w:rPr>
        <w:lastRenderedPageBreak/>
        <w:t>Aligning the learning progressions with NCEA requirements</w:t>
      </w:r>
      <w:bookmarkEnd w:id="46"/>
    </w:p>
    <w:p w14:paraId="02A42A78" w14:textId="7BF70AAF" w:rsidR="00250BCB" w:rsidRPr="00277BEC" w:rsidRDefault="00250BCB" w:rsidP="00165DF3">
      <w:pPr>
        <w:pStyle w:val="BodyText"/>
        <w:jc w:val="left"/>
        <w:rPr>
          <w:rFonts w:ascii="Arial" w:hAnsi="Arial" w:cs="Arial"/>
        </w:rPr>
      </w:pPr>
      <w:r w:rsidRPr="00277BEC">
        <w:rPr>
          <w:rFonts w:ascii="Arial" w:hAnsi="Arial" w:cs="Arial"/>
        </w:rPr>
        <w:t>This chapter investigates the relationship between two measures of literacy and numeracy: the learning progressions</w:t>
      </w:r>
      <w:r w:rsidR="000C0266">
        <w:rPr>
          <w:rFonts w:ascii="Arial" w:hAnsi="Arial" w:cs="Arial"/>
        </w:rPr>
        <w:t>,</w:t>
      </w:r>
      <w:r w:rsidRPr="00277BEC">
        <w:rPr>
          <w:rFonts w:ascii="Arial" w:hAnsi="Arial" w:cs="Arial"/>
        </w:rPr>
        <w:t xml:space="preserve"> and NCEA requirements. The analysis uses student assessment results from these measures</w:t>
      </w:r>
      <w:r w:rsidR="000C0266">
        <w:rPr>
          <w:rFonts w:ascii="Arial" w:hAnsi="Arial" w:cs="Arial"/>
        </w:rPr>
        <w:t>:</w:t>
      </w:r>
      <w:r w:rsidRPr="00277BEC">
        <w:rPr>
          <w:rFonts w:ascii="Arial" w:hAnsi="Arial" w:cs="Arial"/>
        </w:rPr>
        <w:t xml:space="preserve"> firstly to investigate the association between the literacy and numeracy requirements for NCEA and the attainment of NCEA qualifications</w:t>
      </w:r>
      <w:r w:rsidR="000C0266">
        <w:rPr>
          <w:rFonts w:ascii="Arial" w:hAnsi="Arial" w:cs="Arial"/>
        </w:rPr>
        <w:t>;</w:t>
      </w:r>
      <w:r w:rsidRPr="00277BEC">
        <w:rPr>
          <w:rFonts w:ascii="Arial" w:hAnsi="Arial" w:cs="Arial"/>
        </w:rPr>
        <w:t xml:space="preserve"> and secondly to describe the reading and numeracy competencies of students who meet NCEA literacy and numeracy requirements and gain NCEA qualifications.</w:t>
      </w:r>
    </w:p>
    <w:p w14:paraId="6EFDE1DB" w14:textId="77777777" w:rsidR="00250BCB" w:rsidRPr="00277BEC" w:rsidRDefault="00250BCB" w:rsidP="00165DF3">
      <w:pPr>
        <w:pStyle w:val="Heading2"/>
        <w:jc w:val="left"/>
        <w:rPr>
          <w:rFonts w:cs="Arial"/>
        </w:rPr>
      </w:pPr>
      <w:bookmarkStart w:id="47" w:name="_Toc417920184"/>
      <w:r w:rsidRPr="00277BEC">
        <w:rPr>
          <w:rFonts w:cs="Arial"/>
        </w:rPr>
        <w:t>Association between the literacy and numeracy requirements for NCEA and qualifications</w:t>
      </w:r>
      <w:bookmarkEnd w:id="47"/>
    </w:p>
    <w:p w14:paraId="1CCE8B78" w14:textId="77777777" w:rsidR="00250BCB" w:rsidRPr="00277BEC" w:rsidRDefault="00250BCB" w:rsidP="00165DF3">
      <w:pPr>
        <w:jc w:val="left"/>
        <w:rPr>
          <w:rFonts w:ascii="Arial" w:hAnsi="Arial" w:cs="Arial"/>
        </w:rPr>
      </w:pPr>
      <w:r w:rsidRPr="00277BEC">
        <w:rPr>
          <w:rFonts w:ascii="Arial" w:hAnsi="Arial" w:cs="Arial"/>
        </w:rPr>
        <w:t>This section uses data from both the sample school and the tertiary cohort to address the following research question:</w:t>
      </w:r>
    </w:p>
    <w:p w14:paraId="3AC93D35" w14:textId="67A8DE0A" w:rsidR="00250BCB" w:rsidRPr="00B0501D" w:rsidRDefault="00250BCB" w:rsidP="00B0501D">
      <w:pPr>
        <w:pStyle w:val="BodyText"/>
        <w:numPr>
          <w:ilvl w:val="0"/>
          <w:numId w:val="8"/>
        </w:numPr>
        <w:jc w:val="left"/>
        <w:rPr>
          <w:rFonts w:ascii="Arial" w:hAnsi="Arial" w:cs="Arial"/>
          <w:b/>
        </w:rPr>
      </w:pPr>
      <w:proofErr w:type="gramStart"/>
      <w:r w:rsidRPr="00B0501D">
        <w:rPr>
          <w:rFonts w:ascii="Arial" w:hAnsi="Arial" w:cs="Arial"/>
          <w:b/>
        </w:rPr>
        <w:t>Are</w:t>
      </w:r>
      <w:proofErr w:type="gramEnd"/>
      <w:r w:rsidRPr="00B0501D">
        <w:rPr>
          <w:rFonts w:ascii="Arial" w:hAnsi="Arial" w:cs="Arial"/>
          <w:b/>
        </w:rPr>
        <w:t xml:space="preserve"> either or both of the unit and achievement standards pathways to the literacy and numeracy requirements associated with students achieving a Level 2 NCEA qualification? </w:t>
      </w:r>
    </w:p>
    <w:p w14:paraId="553DE016" w14:textId="77777777" w:rsidR="00250BCB" w:rsidRPr="00277BEC" w:rsidRDefault="00250BCB" w:rsidP="00165DF3">
      <w:pPr>
        <w:pStyle w:val="BodyText"/>
        <w:jc w:val="left"/>
        <w:rPr>
          <w:rFonts w:ascii="Arial" w:hAnsi="Arial" w:cs="Arial"/>
        </w:rPr>
      </w:pPr>
      <w:r w:rsidRPr="00277BEC">
        <w:rPr>
          <w:rFonts w:ascii="Arial" w:hAnsi="Arial" w:cs="Arial"/>
        </w:rPr>
        <w:t xml:space="preserve">In both the school sample and the tertiary cohort, a large majority of students who attained the literacy and numeracy requirements for NCEA did so under either of the new unit standard or achievement standard pathways. However, the three methods of attaining each requirement are not mutually exclusive and a number of students attained one or both of the requirements under both the old rules and one of the new unit and achievement standard pathways. The following analysis includes results for the new unit and achievement standard pathways only, and whether or not students also met the requirements under the old rules has been disregarded. </w:t>
      </w:r>
    </w:p>
    <w:p w14:paraId="41CA90EC" w14:textId="77777777" w:rsidR="00250BCB" w:rsidRPr="00277BEC" w:rsidRDefault="00250BCB" w:rsidP="00165DF3">
      <w:pPr>
        <w:pStyle w:val="BodyText"/>
        <w:jc w:val="left"/>
        <w:rPr>
          <w:rFonts w:ascii="Arial" w:hAnsi="Arial" w:cs="Arial"/>
        </w:rPr>
      </w:pPr>
      <w:r w:rsidRPr="00277BEC">
        <w:rPr>
          <w:rFonts w:ascii="Arial" w:hAnsi="Arial" w:cs="Arial"/>
        </w:rPr>
        <w:t>Table 5 compares the percentages of students in the school sample attaining the numeracy requirements by just one of the new pathways (unit or achievement standard), who attained NCEA Levels 1 and 2. Table 6 contains comparable information for literacy. Note that the school sample has been used for this analysis as it is reasonably representative, and NCEA requirements and qualifications are most relevant for this group.</w:t>
      </w:r>
    </w:p>
    <w:p w14:paraId="13267AEA" w14:textId="70552144" w:rsidR="00250BCB" w:rsidRPr="00277BEC" w:rsidRDefault="00250BCB" w:rsidP="00165DF3">
      <w:pPr>
        <w:pStyle w:val="BodyText"/>
        <w:jc w:val="left"/>
        <w:rPr>
          <w:rFonts w:ascii="Arial" w:hAnsi="Arial" w:cs="Arial"/>
        </w:rPr>
      </w:pPr>
      <w:r w:rsidRPr="00277BEC">
        <w:rPr>
          <w:rFonts w:ascii="Arial" w:hAnsi="Arial" w:cs="Arial"/>
        </w:rPr>
        <w:t xml:space="preserve">The data for </w:t>
      </w:r>
      <w:r w:rsidR="0040100E">
        <w:rPr>
          <w:rFonts w:ascii="Arial" w:hAnsi="Arial" w:cs="Arial"/>
        </w:rPr>
        <w:t>Y</w:t>
      </w:r>
      <w:r w:rsidRPr="00277BEC">
        <w:rPr>
          <w:rFonts w:ascii="Arial" w:hAnsi="Arial" w:cs="Arial"/>
        </w:rPr>
        <w:t xml:space="preserve">ear 11 show that the proportions of students who attained NCEA </w:t>
      </w:r>
      <w:r w:rsidR="0040100E" w:rsidRPr="00277BEC">
        <w:rPr>
          <w:rFonts w:ascii="Arial" w:hAnsi="Arial" w:cs="Arial"/>
        </w:rPr>
        <w:t>Level</w:t>
      </w:r>
      <w:r w:rsidR="0040100E">
        <w:rPr>
          <w:rFonts w:ascii="Arial" w:hAnsi="Arial" w:cs="Arial"/>
        </w:rPr>
        <w:t> </w:t>
      </w:r>
      <w:r w:rsidRPr="00277BEC">
        <w:rPr>
          <w:rFonts w:ascii="Arial" w:hAnsi="Arial" w:cs="Arial"/>
        </w:rPr>
        <w:t>1, having gained the literacy or numeracy requirement by the unit standard pathway but not the achievement standard pathway, were considerably lower than the proportions who attained NCEA Level 1</w:t>
      </w:r>
      <w:r w:rsidR="0040100E">
        <w:rPr>
          <w:rFonts w:ascii="Arial" w:hAnsi="Arial" w:cs="Arial"/>
        </w:rPr>
        <w:t>,</w:t>
      </w:r>
      <w:r w:rsidRPr="00277BEC">
        <w:rPr>
          <w:rFonts w:ascii="Arial" w:hAnsi="Arial" w:cs="Arial"/>
        </w:rPr>
        <w:t xml:space="preserve"> having gained the requirements by the achievement standard pathway only, or by both pathways. The proportion gaining NCEA Level 1 having attained the numeracy requirement by just the achievement standard pathway was higher than the proportion gaining NCEA Level 1 having attained the numeracy requirement by both pathways. For the literacy requirement on the other hand, the highest rate of attaining NCEA Level 1 was for students attaining the requirement by both pathways. NCEA Level 2 is only rarely attained by students </w:t>
      </w:r>
      <w:r w:rsidRPr="00277BEC">
        <w:rPr>
          <w:rFonts w:ascii="Arial" w:hAnsi="Arial" w:cs="Arial"/>
        </w:rPr>
        <w:lastRenderedPageBreak/>
        <w:t xml:space="preserve">prior to Year 12, and virtually no </w:t>
      </w:r>
      <w:r w:rsidR="0040100E">
        <w:rPr>
          <w:rFonts w:ascii="Arial" w:hAnsi="Arial" w:cs="Arial"/>
        </w:rPr>
        <w:t>Y</w:t>
      </w:r>
      <w:r w:rsidRPr="00277BEC">
        <w:rPr>
          <w:rFonts w:ascii="Arial" w:hAnsi="Arial" w:cs="Arial"/>
        </w:rPr>
        <w:t xml:space="preserve">ear 11 students in the sample gained NCEA </w:t>
      </w:r>
      <w:r w:rsidR="0040100E" w:rsidRPr="00277BEC">
        <w:rPr>
          <w:rFonts w:ascii="Arial" w:hAnsi="Arial" w:cs="Arial"/>
        </w:rPr>
        <w:t>Level</w:t>
      </w:r>
      <w:r w:rsidR="0040100E">
        <w:rPr>
          <w:rFonts w:ascii="Arial" w:hAnsi="Arial" w:cs="Arial"/>
        </w:rPr>
        <w:t> </w:t>
      </w:r>
      <w:r w:rsidRPr="00277BEC">
        <w:rPr>
          <w:rFonts w:ascii="Arial" w:hAnsi="Arial" w:cs="Arial"/>
        </w:rPr>
        <w:t xml:space="preserve">2. </w:t>
      </w:r>
    </w:p>
    <w:p w14:paraId="464619EE" w14:textId="0CEA31E1" w:rsidR="00250BCB" w:rsidRPr="00277BEC" w:rsidRDefault="00250BCB" w:rsidP="0040100E">
      <w:pPr>
        <w:pStyle w:val="BodyText"/>
        <w:jc w:val="left"/>
        <w:rPr>
          <w:rFonts w:ascii="Arial" w:hAnsi="Arial" w:cs="Arial"/>
        </w:rPr>
      </w:pPr>
      <w:r w:rsidRPr="00277BEC">
        <w:rPr>
          <w:rFonts w:ascii="Arial" w:hAnsi="Arial" w:cs="Arial"/>
        </w:rPr>
        <w:t>Not surprisingly</w:t>
      </w:r>
      <w:r w:rsidR="0040100E">
        <w:rPr>
          <w:rFonts w:ascii="Arial" w:hAnsi="Arial" w:cs="Arial"/>
        </w:rPr>
        <w:t>,</w:t>
      </w:r>
      <w:r w:rsidRPr="00277BEC">
        <w:rPr>
          <w:rFonts w:ascii="Arial" w:hAnsi="Arial" w:cs="Arial"/>
        </w:rPr>
        <w:t xml:space="preserve"> the proportions of </w:t>
      </w:r>
      <w:r w:rsidR="0040100E">
        <w:rPr>
          <w:rFonts w:ascii="Arial" w:hAnsi="Arial" w:cs="Arial"/>
        </w:rPr>
        <w:t>Y</w:t>
      </w:r>
      <w:r w:rsidRPr="00277BEC">
        <w:rPr>
          <w:rFonts w:ascii="Arial" w:hAnsi="Arial" w:cs="Arial"/>
        </w:rPr>
        <w:t xml:space="preserve">ear 12 students gaining NCEA Level 1 are very high for students of all pathway combinations. The highest proportions of students gaining NCEA Level 2 were of those gaining the literacy and numeracy requirements by just the achievement standard pathway, although, in respect of the numeracy requirement, the proportion gaining NCEA Level 2 was almost as high for students gaining the requirement by both pathways. Much lower proportions of students attaining either requirement only by unit standard pathways gained NCEA Level 2. </w:t>
      </w:r>
    </w:p>
    <w:p w14:paraId="504AE7C0" w14:textId="7A42CC3B" w:rsidR="007D1EBD" w:rsidRPr="00277BEC" w:rsidRDefault="00250BCB" w:rsidP="0040100E">
      <w:pPr>
        <w:pStyle w:val="BodyText"/>
        <w:jc w:val="left"/>
        <w:rPr>
          <w:rFonts w:ascii="Arial" w:hAnsi="Arial" w:cs="Arial"/>
        </w:rPr>
      </w:pPr>
      <w:r w:rsidRPr="00277BEC">
        <w:rPr>
          <w:rFonts w:ascii="Arial" w:hAnsi="Arial" w:cs="Arial"/>
        </w:rPr>
        <w:t xml:space="preserve">The data in Tables 5 and 6 </w:t>
      </w:r>
      <w:proofErr w:type="gramStart"/>
      <w:r w:rsidRPr="00277BEC">
        <w:rPr>
          <w:rFonts w:ascii="Arial" w:hAnsi="Arial" w:cs="Arial"/>
        </w:rPr>
        <w:t>show</w:t>
      </w:r>
      <w:proofErr w:type="gramEnd"/>
      <w:r w:rsidRPr="00277BEC">
        <w:rPr>
          <w:rFonts w:ascii="Arial" w:hAnsi="Arial" w:cs="Arial"/>
        </w:rPr>
        <w:t xml:space="preserve"> that the achievement standard pathway is more strongly associated with the attainment of NCEA Level 1 in </w:t>
      </w:r>
      <w:r w:rsidR="0040100E">
        <w:rPr>
          <w:rFonts w:ascii="Arial" w:hAnsi="Arial" w:cs="Arial"/>
        </w:rPr>
        <w:t>Y</w:t>
      </w:r>
      <w:r w:rsidRPr="00277BEC">
        <w:rPr>
          <w:rFonts w:ascii="Arial" w:hAnsi="Arial" w:cs="Arial"/>
        </w:rPr>
        <w:t xml:space="preserve">ear 11 or NCEA Level 2 in </w:t>
      </w:r>
      <w:r w:rsidR="0040100E">
        <w:rPr>
          <w:rFonts w:ascii="Arial" w:hAnsi="Arial" w:cs="Arial"/>
        </w:rPr>
        <w:t>Y</w:t>
      </w:r>
      <w:r w:rsidRPr="00277BEC">
        <w:rPr>
          <w:rFonts w:ascii="Arial" w:hAnsi="Arial" w:cs="Arial"/>
        </w:rPr>
        <w:t>ear 12. While this finding does not show anything directly about the relative literacy and numeracy demands of the two pathways, it is at least suggestive that the literacy and numeracy competencies of the group gaining the requirements by the achievement standard pathway are stronger than those of the group using the unit standard pathway. It needs to be noted that the educational background of learners has not been controlled for in the results.</w:t>
      </w:r>
    </w:p>
    <w:p w14:paraId="44A0C734" w14:textId="77777777" w:rsidR="00250BCB" w:rsidRPr="00277BEC" w:rsidRDefault="00250BCB" w:rsidP="004B4F59">
      <w:pPr>
        <w:pStyle w:val="Caption"/>
        <w:jc w:val="left"/>
        <w:rPr>
          <w:rFonts w:cs="Arial"/>
        </w:rPr>
      </w:pPr>
      <w:r w:rsidRPr="00277BEC">
        <w:rPr>
          <w:rFonts w:cs="Arial"/>
          <w:b/>
        </w:rPr>
        <w:t xml:space="preserve">Table </w:t>
      </w:r>
      <w:r w:rsidRPr="00277BEC">
        <w:rPr>
          <w:rFonts w:cs="Arial"/>
          <w:b/>
        </w:rPr>
        <w:fldChar w:fldCharType="begin"/>
      </w:r>
      <w:r w:rsidRPr="00277BEC">
        <w:rPr>
          <w:rFonts w:cs="Arial"/>
          <w:b/>
        </w:rPr>
        <w:instrText xml:space="preserve"> SEQ Table \* ARABIC </w:instrText>
      </w:r>
      <w:r w:rsidRPr="00277BEC">
        <w:rPr>
          <w:rFonts w:cs="Arial"/>
          <w:b/>
        </w:rPr>
        <w:fldChar w:fldCharType="separate"/>
      </w:r>
      <w:r w:rsidR="00277BEC" w:rsidRPr="00277BEC">
        <w:rPr>
          <w:rFonts w:cs="Arial"/>
          <w:b/>
          <w:noProof/>
        </w:rPr>
        <w:t>5</w:t>
      </w:r>
      <w:r w:rsidRPr="00277BEC">
        <w:rPr>
          <w:rFonts w:cs="Arial"/>
          <w:b/>
        </w:rPr>
        <w:fldChar w:fldCharType="end"/>
      </w:r>
      <w:r w:rsidRPr="00277BEC">
        <w:rPr>
          <w:rFonts w:cs="Arial"/>
        </w:rPr>
        <w:t xml:space="preserve">  Percentages of students in the school sample attaining the numeracy requirement for NCEA by either or both of the unit and achievement standard pathways, who achieved NCEA Level 1 and NCEA Level 2, disaggregated by year level. </w:t>
      </w:r>
    </w:p>
    <w:tbl>
      <w:tblPr>
        <w:tblW w:w="0" w:type="auto"/>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87"/>
        <w:gridCol w:w="1315"/>
        <w:gridCol w:w="1315"/>
        <w:gridCol w:w="587"/>
        <w:gridCol w:w="1315"/>
        <w:gridCol w:w="1315"/>
        <w:gridCol w:w="607"/>
      </w:tblGrid>
      <w:tr w:rsidR="00250BCB" w:rsidRPr="00277BEC" w14:paraId="17168176" w14:textId="77777777" w:rsidTr="00250BCB">
        <w:trPr>
          <w:trHeight w:val="300"/>
          <w:tblCellSpacing w:w="20" w:type="dxa"/>
        </w:trPr>
        <w:tc>
          <w:tcPr>
            <w:tcW w:w="0" w:type="auto"/>
            <w:vMerge w:val="restart"/>
            <w:shd w:val="clear" w:color="auto" w:fill="auto"/>
            <w:noWrap/>
            <w:vAlign w:val="bottom"/>
            <w:hideMark/>
          </w:tcPr>
          <w:p w14:paraId="6706F559" w14:textId="77777777" w:rsidR="00250BCB" w:rsidRPr="00277BEC" w:rsidRDefault="00250BCB" w:rsidP="00250BCB">
            <w:pPr>
              <w:pStyle w:val="Tabletext"/>
              <w:rPr>
                <w:lang w:eastAsia="en-NZ"/>
              </w:rPr>
            </w:pPr>
            <w:r w:rsidRPr="00277BEC">
              <w:rPr>
                <w:lang w:eastAsia="en-NZ"/>
              </w:rPr>
              <w:t>Pathway</w:t>
            </w:r>
          </w:p>
        </w:tc>
        <w:tc>
          <w:tcPr>
            <w:tcW w:w="0" w:type="auto"/>
            <w:gridSpan w:val="3"/>
            <w:shd w:val="clear" w:color="auto" w:fill="auto"/>
            <w:noWrap/>
            <w:vAlign w:val="bottom"/>
            <w:hideMark/>
          </w:tcPr>
          <w:p w14:paraId="10FF40E9" w14:textId="77777777" w:rsidR="00250BCB" w:rsidRPr="00277BEC" w:rsidRDefault="00250BCB" w:rsidP="00250BCB">
            <w:pPr>
              <w:pStyle w:val="Tabletext"/>
              <w:rPr>
                <w:lang w:eastAsia="en-NZ"/>
              </w:rPr>
            </w:pPr>
            <w:r w:rsidRPr="00277BEC">
              <w:rPr>
                <w:lang w:eastAsia="en-NZ"/>
              </w:rPr>
              <w:t>Year 11</w:t>
            </w:r>
          </w:p>
        </w:tc>
        <w:tc>
          <w:tcPr>
            <w:tcW w:w="0" w:type="auto"/>
            <w:gridSpan w:val="3"/>
            <w:shd w:val="clear" w:color="auto" w:fill="auto"/>
            <w:noWrap/>
            <w:vAlign w:val="bottom"/>
            <w:hideMark/>
          </w:tcPr>
          <w:p w14:paraId="2B69DB80" w14:textId="77777777" w:rsidR="00250BCB" w:rsidRPr="00277BEC" w:rsidRDefault="00250BCB" w:rsidP="00250BCB">
            <w:pPr>
              <w:pStyle w:val="Tabletext"/>
              <w:rPr>
                <w:lang w:eastAsia="en-NZ"/>
              </w:rPr>
            </w:pPr>
            <w:r w:rsidRPr="00277BEC">
              <w:rPr>
                <w:lang w:eastAsia="en-NZ"/>
              </w:rPr>
              <w:t>Year 12</w:t>
            </w:r>
          </w:p>
        </w:tc>
      </w:tr>
      <w:tr w:rsidR="00250BCB" w:rsidRPr="00277BEC" w14:paraId="62868D60" w14:textId="77777777" w:rsidTr="00250BCB">
        <w:trPr>
          <w:trHeight w:val="690"/>
          <w:tblCellSpacing w:w="20" w:type="dxa"/>
        </w:trPr>
        <w:tc>
          <w:tcPr>
            <w:tcW w:w="0" w:type="auto"/>
            <w:vMerge/>
            <w:shd w:val="clear" w:color="auto" w:fill="auto"/>
            <w:noWrap/>
            <w:vAlign w:val="bottom"/>
            <w:hideMark/>
          </w:tcPr>
          <w:p w14:paraId="55715C0A" w14:textId="77777777" w:rsidR="00250BCB" w:rsidRPr="00277BEC" w:rsidRDefault="00250BCB" w:rsidP="00250BCB">
            <w:pPr>
              <w:pStyle w:val="Tabletext"/>
              <w:rPr>
                <w:lang w:eastAsia="en-NZ"/>
              </w:rPr>
            </w:pPr>
          </w:p>
        </w:tc>
        <w:tc>
          <w:tcPr>
            <w:tcW w:w="0" w:type="auto"/>
            <w:shd w:val="clear" w:color="auto" w:fill="auto"/>
            <w:vAlign w:val="bottom"/>
            <w:hideMark/>
          </w:tcPr>
          <w:p w14:paraId="78E4D31B" w14:textId="77777777" w:rsidR="00250BCB" w:rsidRPr="00277BEC" w:rsidRDefault="00250BCB" w:rsidP="00250BCB">
            <w:pPr>
              <w:pStyle w:val="Tabletext"/>
              <w:jc w:val="left"/>
              <w:rPr>
                <w:lang w:eastAsia="en-NZ"/>
              </w:rPr>
            </w:pPr>
            <w:r w:rsidRPr="00277BEC">
              <w:rPr>
                <w:lang w:eastAsia="en-NZ"/>
              </w:rPr>
              <w:t xml:space="preserve">% attaining NCEA L1 </w:t>
            </w:r>
          </w:p>
        </w:tc>
        <w:tc>
          <w:tcPr>
            <w:tcW w:w="0" w:type="auto"/>
            <w:shd w:val="clear" w:color="auto" w:fill="auto"/>
            <w:vAlign w:val="bottom"/>
            <w:hideMark/>
          </w:tcPr>
          <w:p w14:paraId="7D83AD17" w14:textId="77777777" w:rsidR="00250BCB" w:rsidRPr="00277BEC" w:rsidRDefault="00250BCB" w:rsidP="00250BCB">
            <w:pPr>
              <w:pStyle w:val="Tabletext"/>
              <w:jc w:val="left"/>
              <w:rPr>
                <w:lang w:eastAsia="en-NZ"/>
              </w:rPr>
            </w:pPr>
            <w:r w:rsidRPr="00277BEC">
              <w:rPr>
                <w:lang w:eastAsia="en-NZ"/>
              </w:rPr>
              <w:t xml:space="preserve">% attaining NCEA L2 </w:t>
            </w:r>
          </w:p>
        </w:tc>
        <w:tc>
          <w:tcPr>
            <w:tcW w:w="0" w:type="auto"/>
            <w:shd w:val="clear" w:color="auto" w:fill="auto"/>
            <w:vAlign w:val="bottom"/>
            <w:hideMark/>
          </w:tcPr>
          <w:p w14:paraId="3F9435FB" w14:textId="77777777" w:rsidR="00250BCB" w:rsidRPr="00277BEC" w:rsidRDefault="00250BCB" w:rsidP="00250BCB">
            <w:pPr>
              <w:pStyle w:val="Tabletext"/>
              <w:jc w:val="left"/>
              <w:rPr>
                <w:i/>
                <w:iCs/>
                <w:lang w:eastAsia="en-NZ"/>
              </w:rPr>
            </w:pPr>
            <w:r w:rsidRPr="00277BEC">
              <w:rPr>
                <w:i/>
                <w:iCs/>
                <w:lang w:eastAsia="en-NZ"/>
              </w:rPr>
              <w:t>n</w:t>
            </w:r>
          </w:p>
        </w:tc>
        <w:tc>
          <w:tcPr>
            <w:tcW w:w="0" w:type="auto"/>
            <w:shd w:val="clear" w:color="auto" w:fill="auto"/>
            <w:vAlign w:val="bottom"/>
            <w:hideMark/>
          </w:tcPr>
          <w:p w14:paraId="33E7A3F1" w14:textId="77777777" w:rsidR="00250BCB" w:rsidRPr="00277BEC" w:rsidRDefault="00250BCB" w:rsidP="00250BCB">
            <w:pPr>
              <w:pStyle w:val="Tabletext"/>
              <w:jc w:val="left"/>
              <w:rPr>
                <w:lang w:eastAsia="en-NZ"/>
              </w:rPr>
            </w:pPr>
            <w:r w:rsidRPr="00277BEC">
              <w:rPr>
                <w:lang w:eastAsia="en-NZ"/>
              </w:rPr>
              <w:t xml:space="preserve">% attaining NCEA L1 </w:t>
            </w:r>
          </w:p>
        </w:tc>
        <w:tc>
          <w:tcPr>
            <w:tcW w:w="0" w:type="auto"/>
            <w:shd w:val="clear" w:color="auto" w:fill="auto"/>
            <w:vAlign w:val="bottom"/>
            <w:hideMark/>
          </w:tcPr>
          <w:p w14:paraId="58893282" w14:textId="77777777" w:rsidR="00250BCB" w:rsidRPr="00277BEC" w:rsidRDefault="00250BCB" w:rsidP="00250BCB">
            <w:pPr>
              <w:pStyle w:val="Tabletext"/>
              <w:jc w:val="left"/>
              <w:rPr>
                <w:lang w:eastAsia="en-NZ"/>
              </w:rPr>
            </w:pPr>
            <w:r w:rsidRPr="00277BEC">
              <w:rPr>
                <w:lang w:eastAsia="en-NZ"/>
              </w:rPr>
              <w:t xml:space="preserve">% attaining NCEA L2 </w:t>
            </w:r>
          </w:p>
        </w:tc>
        <w:tc>
          <w:tcPr>
            <w:tcW w:w="0" w:type="auto"/>
            <w:shd w:val="clear" w:color="auto" w:fill="auto"/>
            <w:vAlign w:val="bottom"/>
            <w:hideMark/>
          </w:tcPr>
          <w:p w14:paraId="22639CE4" w14:textId="77777777" w:rsidR="00250BCB" w:rsidRPr="00277BEC" w:rsidRDefault="00250BCB" w:rsidP="00250BCB">
            <w:pPr>
              <w:pStyle w:val="Tabletext"/>
              <w:rPr>
                <w:i/>
                <w:lang w:eastAsia="en-NZ"/>
              </w:rPr>
            </w:pPr>
            <w:r w:rsidRPr="00277BEC">
              <w:rPr>
                <w:i/>
                <w:lang w:eastAsia="en-NZ"/>
              </w:rPr>
              <w:t>n</w:t>
            </w:r>
          </w:p>
        </w:tc>
      </w:tr>
      <w:tr w:rsidR="00250BCB" w:rsidRPr="00277BEC" w14:paraId="5ACAD57C" w14:textId="77777777" w:rsidTr="00250BCB">
        <w:trPr>
          <w:trHeight w:val="300"/>
          <w:tblCellSpacing w:w="20" w:type="dxa"/>
        </w:trPr>
        <w:tc>
          <w:tcPr>
            <w:tcW w:w="0" w:type="auto"/>
            <w:shd w:val="clear" w:color="auto" w:fill="auto"/>
            <w:noWrap/>
            <w:vAlign w:val="bottom"/>
            <w:hideMark/>
          </w:tcPr>
          <w:p w14:paraId="5EEA7EB4" w14:textId="77777777" w:rsidR="00250BCB" w:rsidRPr="00277BEC" w:rsidRDefault="00250BCB" w:rsidP="00250BCB">
            <w:pPr>
              <w:pStyle w:val="Tabletext"/>
              <w:rPr>
                <w:lang w:eastAsia="en-NZ"/>
              </w:rPr>
            </w:pPr>
            <w:r w:rsidRPr="00277BEC">
              <w:rPr>
                <w:lang w:eastAsia="en-NZ"/>
              </w:rPr>
              <w:t>Numeracy (AS only)</w:t>
            </w:r>
          </w:p>
        </w:tc>
        <w:tc>
          <w:tcPr>
            <w:tcW w:w="0" w:type="auto"/>
            <w:shd w:val="clear" w:color="auto" w:fill="auto"/>
            <w:noWrap/>
            <w:vAlign w:val="bottom"/>
            <w:hideMark/>
          </w:tcPr>
          <w:p w14:paraId="650BAFA2" w14:textId="77777777" w:rsidR="00250BCB" w:rsidRPr="00277BEC" w:rsidRDefault="00250BCB" w:rsidP="00250BCB">
            <w:pPr>
              <w:pStyle w:val="Tabletext"/>
              <w:rPr>
                <w:lang w:eastAsia="en-NZ"/>
              </w:rPr>
            </w:pPr>
            <w:r w:rsidRPr="00277BEC">
              <w:rPr>
                <w:lang w:eastAsia="en-NZ"/>
              </w:rPr>
              <w:t>87.8</w:t>
            </w:r>
          </w:p>
        </w:tc>
        <w:tc>
          <w:tcPr>
            <w:tcW w:w="0" w:type="auto"/>
            <w:shd w:val="clear" w:color="auto" w:fill="auto"/>
            <w:noWrap/>
            <w:vAlign w:val="bottom"/>
            <w:hideMark/>
          </w:tcPr>
          <w:p w14:paraId="0C5DB771" w14:textId="77777777" w:rsidR="00250BCB" w:rsidRPr="00277BEC" w:rsidRDefault="00250BCB" w:rsidP="00250BCB">
            <w:pPr>
              <w:pStyle w:val="Tabletext"/>
              <w:rPr>
                <w:lang w:eastAsia="en-NZ"/>
              </w:rPr>
            </w:pPr>
            <w:r w:rsidRPr="00277BEC">
              <w:rPr>
                <w:lang w:eastAsia="en-NZ"/>
              </w:rPr>
              <w:t>0.8</w:t>
            </w:r>
          </w:p>
        </w:tc>
        <w:tc>
          <w:tcPr>
            <w:tcW w:w="0" w:type="auto"/>
            <w:shd w:val="clear" w:color="auto" w:fill="auto"/>
            <w:noWrap/>
            <w:vAlign w:val="bottom"/>
            <w:hideMark/>
          </w:tcPr>
          <w:p w14:paraId="02531883" w14:textId="77777777" w:rsidR="00250BCB" w:rsidRPr="00277BEC" w:rsidRDefault="00250BCB" w:rsidP="00250BCB">
            <w:pPr>
              <w:pStyle w:val="Tabletext"/>
              <w:rPr>
                <w:lang w:eastAsia="en-NZ"/>
              </w:rPr>
            </w:pPr>
            <w:r w:rsidRPr="00277BEC">
              <w:rPr>
                <w:lang w:eastAsia="en-NZ"/>
              </w:rPr>
              <w:t>532</w:t>
            </w:r>
          </w:p>
        </w:tc>
        <w:tc>
          <w:tcPr>
            <w:tcW w:w="0" w:type="auto"/>
            <w:shd w:val="clear" w:color="auto" w:fill="auto"/>
            <w:noWrap/>
            <w:vAlign w:val="bottom"/>
            <w:hideMark/>
          </w:tcPr>
          <w:p w14:paraId="48DFFE61" w14:textId="77777777" w:rsidR="00250BCB" w:rsidRPr="00277BEC" w:rsidRDefault="00250BCB" w:rsidP="00250BCB">
            <w:pPr>
              <w:pStyle w:val="Tabletext"/>
              <w:rPr>
                <w:lang w:eastAsia="en-NZ"/>
              </w:rPr>
            </w:pPr>
            <w:r w:rsidRPr="00277BEC">
              <w:rPr>
                <w:lang w:eastAsia="en-NZ"/>
              </w:rPr>
              <w:t>98.9</w:t>
            </w:r>
          </w:p>
        </w:tc>
        <w:tc>
          <w:tcPr>
            <w:tcW w:w="0" w:type="auto"/>
            <w:shd w:val="clear" w:color="auto" w:fill="auto"/>
            <w:noWrap/>
            <w:vAlign w:val="bottom"/>
            <w:hideMark/>
          </w:tcPr>
          <w:p w14:paraId="542EB032" w14:textId="77777777" w:rsidR="00250BCB" w:rsidRPr="00277BEC" w:rsidRDefault="00250BCB" w:rsidP="00250BCB">
            <w:pPr>
              <w:pStyle w:val="Tabletext"/>
              <w:rPr>
                <w:lang w:eastAsia="en-NZ"/>
              </w:rPr>
            </w:pPr>
            <w:r w:rsidRPr="00277BEC">
              <w:rPr>
                <w:lang w:eastAsia="en-NZ"/>
              </w:rPr>
              <w:t>91.9</w:t>
            </w:r>
          </w:p>
        </w:tc>
        <w:tc>
          <w:tcPr>
            <w:tcW w:w="0" w:type="auto"/>
            <w:shd w:val="clear" w:color="auto" w:fill="auto"/>
            <w:noWrap/>
            <w:vAlign w:val="bottom"/>
            <w:hideMark/>
          </w:tcPr>
          <w:p w14:paraId="1E2A60A8" w14:textId="77777777" w:rsidR="00250BCB" w:rsidRPr="00277BEC" w:rsidRDefault="00250BCB" w:rsidP="00250BCB">
            <w:pPr>
              <w:pStyle w:val="Tabletext"/>
              <w:rPr>
                <w:lang w:eastAsia="en-NZ"/>
              </w:rPr>
            </w:pPr>
            <w:r w:rsidRPr="00277BEC">
              <w:rPr>
                <w:lang w:eastAsia="en-NZ"/>
              </w:rPr>
              <w:t>569</w:t>
            </w:r>
          </w:p>
        </w:tc>
      </w:tr>
      <w:tr w:rsidR="00250BCB" w:rsidRPr="00277BEC" w14:paraId="6AC8DD93" w14:textId="77777777" w:rsidTr="00250BCB">
        <w:trPr>
          <w:trHeight w:val="300"/>
          <w:tblCellSpacing w:w="20" w:type="dxa"/>
        </w:trPr>
        <w:tc>
          <w:tcPr>
            <w:tcW w:w="0" w:type="auto"/>
            <w:shd w:val="clear" w:color="auto" w:fill="auto"/>
            <w:noWrap/>
            <w:vAlign w:val="bottom"/>
            <w:hideMark/>
          </w:tcPr>
          <w:p w14:paraId="326CE8B0" w14:textId="77777777" w:rsidR="00250BCB" w:rsidRPr="00277BEC" w:rsidRDefault="00250BCB" w:rsidP="00250BCB">
            <w:pPr>
              <w:pStyle w:val="Tabletext"/>
              <w:rPr>
                <w:lang w:eastAsia="en-NZ"/>
              </w:rPr>
            </w:pPr>
            <w:r w:rsidRPr="00277BEC">
              <w:rPr>
                <w:lang w:eastAsia="en-NZ"/>
              </w:rPr>
              <w:t>Numeracy (US only)</w:t>
            </w:r>
          </w:p>
        </w:tc>
        <w:tc>
          <w:tcPr>
            <w:tcW w:w="0" w:type="auto"/>
            <w:shd w:val="clear" w:color="auto" w:fill="auto"/>
            <w:noWrap/>
            <w:vAlign w:val="bottom"/>
            <w:hideMark/>
          </w:tcPr>
          <w:p w14:paraId="17277E55" w14:textId="77777777" w:rsidR="00250BCB" w:rsidRPr="00277BEC" w:rsidRDefault="00250BCB" w:rsidP="00250BCB">
            <w:pPr>
              <w:pStyle w:val="Tabletext"/>
              <w:rPr>
                <w:lang w:eastAsia="en-NZ"/>
              </w:rPr>
            </w:pPr>
            <w:r w:rsidRPr="00277BEC">
              <w:rPr>
                <w:lang w:eastAsia="en-NZ"/>
              </w:rPr>
              <w:t>36.5</w:t>
            </w:r>
          </w:p>
        </w:tc>
        <w:tc>
          <w:tcPr>
            <w:tcW w:w="0" w:type="auto"/>
            <w:shd w:val="clear" w:color="auto" w:fill="auto"/>
            <w:noWrap/>
            <w:vAlign w:val="bottom"/>
            <w:hideMark/>
          </w:tcPr>
          <w:p w14:paraId="612646E9" w14:textId="77777777" w:rsidR="00250BCB" w:rsidRPr="00277BEC" w:rsidRDefault="00250BCB" w:rsidP="00250BCB">
            <w:pPr>
              <w:pStyle w:val="Tabletext"/>
              <w:rPr>
                <w:lang w:eastAsia="en-NZ"/>
              </w:rPr>
            </w:pPr>
            <w:r w:rsidRPr="00277BEC">
              <w:rPr>
                <w:lang w:eastAsia="en-NZ"/>
              </w:rPr>
              <w:t>0.0</w:t>
            </w:r>
          </w:p>
        </w:tc>
        <w:tc>
          <w:tcPr>
            <w:tcW w:w="0" w:type="auto"/>
            <w:shd w:val="clear" w:color="auto" w:fill="auto"/>
            <w:noWrap/>
            <w:vAlign w:val="bottom"/>
            <w:hideMark/>
          </w:tcPr>
          <w:p w14:paraId="147B5627" w14:textId="77777777" w:rsidR="00250BCB" w:rsidRPr="00277BEC" w:rsidRDefault="00250BCB" w:rsidP="00250BCB">
            <w:pPr>
              <w:pStyle w:val="Tabletext"/>
              <w:rPr>
                <w:lang w:eastAsia="en-NZ"/>
              </w:rPr>
            </w:pPr>
            <w:r w:rsidRPr="00277BEC">
              <w:rPr>
                <w:lang w:eastAsia="en-NZ"/>
              </w:rPr>
              <w:t>52</w:t>
            </w:r>
          </w:p>
        </w:tc>
        <w:tc>
          <w:tcPr>
            <w:tcW w:w="0" w:type="auto"/>
            <w:shd w:val="clear" w:color="auto" w:fill="auto"/>
            <w:noWrap/>
            <w:vAlign w:val="bottom"/>
            <w:hideMark/>
          </w:tcPr>
          <w:p w14:paraId="5AA4D329" w14:textId="77777777" w:rsidR="00250BCB" w:rsidRPr="00277BEC" w:rsidRDefault="00250BCB" w:rsidP="00250BCB">
            <w:pPr>
              <w:pStyle w:val="Tabletext"/>
              <w:rPr>
                <w:lang w:eastAsia="en-NZ"/>
              </w:rPr>
            </w:pPr>
            <w:r w:rsidRPr="00277BEC">
              <w:rPr>
                <w:lang w:eastAsia="en-NZ"/>
              </w:rPr>
              <w:t>96.4</w:t>
            </w:r>
          </w:p>
        </w:tc>
        <w:tc>
          <w:tcPr>
            <w:tcW w:w="0" w:type="auto"/>
            <w:shd w:val="clear" w:color="auto" w:fill="auto"/>
            <w:noWrap/>
            <w:vAlign w:val="bottom"/>
            <w:hideMark/>
          </w:tcPr>
          <w:p w14:paraId="0045A031" w14:textId="77777777" w:rsidR="00250BCB" w:rsidRPr="00277BEC" w:rsidRDefault="00250BCB" w:rsidP="00250BCB">
            <w:pPr>
              <w:pStyle w:val="Tabletext"/>
              <w:rPr>
                <w:lang w:eastAsia="en-NZ"/>
              </w:rPr>
            </w:pPr>
            <w:r w:rsidRPr="00277BEC">
              <w:rPr>
                <w:lang w:eastAsia="en-NZ"/>
              </w:rPr>
              <w:t>71.4</w:t>
            </w:r>
          </w:p>
        </w:tc>
        <w:tc>
          <w:tcPr>
            <w:tcW w:w="0" w:type="auto"/>
            <w:shd w:val="clear" w:color="auto" w:fill="auto"/>
            <w:noWrap/>
            <w:vAlign w:val="bottom"/>
            <w:hideMark/>
          </w:tcPr>
          <w:p w14:paraId="0A1F388B" w14:textId="77777777" w:rsidR="00250BCB" w:rsidRPr="00277BEC" w:rsidRDefault="00250BCB" w:rsidP="00250BCB">
            <w:pPr>
              <w:pStyle w:val="Tabletext"/>
              <w:rPr>
                <w:lang w:eastAsia="en-NZ"/>
              </w:rPr>
            </w:pPr>
            <w:r w:rsidRPr="00277BEC">
              <w:rPr>
                <w:lang w:eastAsia="en-NZ"/>
              </w:rPr>
              <w:t>28</w:t>
            </w:r>
          </w:p>
        </w:tc>
      </w:tr>
      <w:tr w:rsidR="00250BCB" w:rsidRPr="00277BEC" w14:paraId="66AF725C" w14:textId="77777777" w:rsidTr="00250BCB">
        <w:trPr>
          <w:trHeight w:val="300"/>
          <w:tblCellSpacing w:w="20" w:type="dxa"/>
        </w:trPr>
        <w:tc>
          <w:tcPr>
            <w:tcW w:w="0" w:type="auto"/>
            <w:shd w:val="clear" w:color="auto" w:fill="auto"/>
            <w:noWrap/>
            <w:vAlign w:val="bottom"/>
            <w:hideMark/>
          </w:tcPr>
          <w:p w14:paraId="36E937A5" w14:textId="77777777" w:rsidR="00250BCB" w:rsidRPr="00277BEC" w:rsidRDefault="00250BCB" w:rsidP="00250BCB">
            <w:pPr>
              <w:pStyle w:val="Tabletext"/>
              <w:rPr>
                <w:lang w:eastAsia="en-NZ"/>
              </w:rPr>
            </w:pPr>
            <w:r w:rsidRPr="00277BEC">
              <w:rPr>
                <w:lang w:eastAsia="en-NZ"/>
              </w:rPr>
              <w:t>Numeracy (AS and US)</w:t>
            </w:r>
          </w:p>
        </w:tc>
        <w:tc>
          <w:tcPr>
            <w:tcW w:w="0" w:type="auto"/>
            <w:shd w:val="clear" w:color="auto" w:fill="auto"/>
            <w:noWrap/>
            <w:vAlign w:val="bottom"/>
            <w:hideMark/>
          </w:tcPr>
          <w:p w14:paraId="2C088B2F" w14:textId="77777777" w:rsidR="00250BCB" w:rsidRPr="00277BEC" w:rsidRDefault="00250BCB" w:rsidP="00250BCB">
            <w:pPr>
              <w:pStyle w:val="Tabletext"/>
              <w:rPr>
                <w:lang w:eastAsia="en-NZ"/>
              </w:rPr>
            </w:pPr>
            <w:r w:rsidRPr="00277BEC">
              <w:rPr>
                <w:lang w:eastAsia="en-NZ"/>
              </w:rPr>
              <w:t>58.3</w:t>
            </w:r>
          </w:p>
        </w:tc>
        <w:tc>
          <w:tcPr>
            <w:tcW w:w="0" w:type="auto"/>
            <w:shd w:val="clear" w:color="auto" w:fill="auto"/>
            <w:noWrap/>
            <w:vAlign w:val="bottom"/>
            <w:hideMark/>
          </w:tcPr>
          <w:p w14:paraId="5ED06689" w14:textId="77777777" w:rsidR="00250BCB" w:rsidRPr="00277BEC" w:rsidRDefault="00250BCB" w:rsidP="00250BCB">
            <w:pPr>
              <w:pStyle w:val="Tabletext"/>
              <w:rPr>
                <w:lang w:eastAsia="en-NZ"/>
              </w:rPr>
            </w:pPr>
            <w:r w:rsidRPr="00277BEC">
              <w:rPr>
                <w:lang w:eastAsia="en-NZ"/>
              </w:rPr>
              <w:t>0.0</w:t>
            </w:r>
          </w:p>
        </w:tc>
        <w:tc>
          <w:tcPr>
            <w:tcW w:w="0" w:type="auto"/>
            <w:shd w:val="clear" w:color="auto" w:fill="auto"/>
            <w:noWrap/>
            <w:vAlign w:val="bottom"/>
            <w:hideMark/>
          </w:tcPr>
          <w:p w14:paraId="7BFA7526" w14:textId="77777777" w:rsidR="00250BCB" w:rsidRPr="00277BEC" w:rsidRDefault="00250BCB" w:rsidP="00250BCB">
            <w:pPr>
              <w:pStyle w:val="Tabletext"/>
              <w:rPr>
                <w:lang w:eastAsia="en-NZ"/>
              </w:rPr>
            </w:pPr>
            <w:r w:rsidRPr="00277BEC">
              <w:rPr>
                <w:lang w:eastAsia="en-NZ"/>
              </w:rPr>
              <w:t>12</w:t>
            </w:r>
          </w:p>
        </w:tc>
        <w:tc>
          <w:tcPr>
            <w:tcW w:w="0" w:type="auto"/>
            <w:shd w:val="clear" w:color="auto" w:fill="auto"/>
            <w:noWrap/>
            <w:vAlign w:val="bottom"/>
            <w:hideMark/>
          </w:tcPr>
          <w:p w14:paraId="526D3BC6" w14:textId="77777777" w:rsidR="00250BCB" w:rsidRPr="00277BEC" w:rsidRDefault="00250BCB" w:rsidP="00250BCB">
            <w:pPr>
              <w:pStyle w:val="Tabletext"/>
              <w:rPr>
                <w:lang w:eastAsia="en-NZ"/>
              </w:rPr>
            </w:pPr>
            <w:r w:rsidRPr="00277BEC">
              <w:rPr>
                <w:lang w:eastAsia="en-NZ"/>
              </w:rPr>
              <w:t>100.0</w:t>
            </w:r>
          </w:p>
        </w:tc>
        <w:tc>
          <w:tcPr>
            <w:tcW w:w="0" w:type="auto"/>
            <w:shd w:val="clear" w:color="auto" w:fill="auto"/>
            <w:noWrap/>
            <w:vAlign w:val="bottom"/>
            <w:hideMark/>
          </w:tcPr>
          <w:p w14:paraId="439AF644" w14:textId="77777777" w:rsidR="00250BCB" w:rsidRPr="00277BEC" w:rsidRDefault="00250BCB" w:rsidP="00250BCB">
            <w:pPr>
              <w:pStyle w:val="Tabletext"/>
              <w:rPr>
                <w:lang w:eastAsia="en-NZ"/>
              </w:rPr>
            </w:pPr>
            <w:r w:rsidRPr="00277BEC">
              <w:rPr>
                <w:lang w:eastAsia="en-NZ"/>
              </w:rPr>
              <w:t>87.1</w:t>
            </w:r>
          </w:p>
        </w:tc>
        <w:tc>
          <w:tcPr>
            <w:tcW w:w="0" w:type="auto"/>
            <w:shd w:val="clear" w:color="auto" w:fill="auto"/>
            <w:noWrap/>
            <w:vAlign w:val="bottom"/>
            <w:hideMark/>
          </w:tcPr>
          <w:p w14:paraId="2AE678A7" w14:textId="77777777" w:rsidR="00250BCB" w:rsidRPr="00277BEC" w:rsidRDefault="00250BCB" w:rsidP="00250BCB">
            <w:pPr>
              <w:pStyle w:val="Tabletext"/>
              <w:rPr>
                <w:lang w:eastAsia="en-NZ"/>
              </w:rPr>
            </w:pPr>
            <w:r w:rsidRPr="00277BEC">
              <w:rPr>
                <w:lang w:eastAsia="en-NZ"/>
              </w:rPr>
              <w:t>31</w:t>
            </w:r>
          </w:p>
        </w:tc>
      </w:tr>
    </w:tbl>
    <w:p w14:paraId="220239E9" w14:textId="77777777" w:rsidR="00250BCB" w:rsidRPr="00277BEC" w:rsidRDefault="00250BCB" w:rsidP="004B4F59">
      <w:pPr>
        <w:pStyle w:val="Caption"/>
        <w:jc w:val="left"/>
        <w:rPr>
          <w:rFonts w:cs="Arial"/>
        </w:rPr>
      </w:pPr>
      <w:bookmarkStart w:id="48" w:name="_Toc270604924"/>
      <w:r w:rsidRPr="00277BEC">
        <w:rPr>
          <w:rFonts w:cs="Arial"/>
          <w:b/>
        </w:rPr>
        <w:t xml:space="preserve">Table </w:t>
      </w:r>
      <w:r w:rsidRPr="00277BEC">
        <w:rPr>
          <w:rFonts w:cs="Arial"/>
          <w:b/>
        </w:rPr>
        <w:fldChar w:fldCharType="begin"/>
      </w:r>
      <w:r w:rsidRPr="00277BEC">
        <w:rPr>
          <w:rFonts w:cs="Arial"/>
          <w:b/>
        </w:rPr>
        <w:instrText xml:space="preserve"> SEQ Table \* ARABIC </w:instrText>
      </w:r>
      <w:r w:rsidRPr="00277BEC">
        <w:rPr>
          <w:rFonts w:cs="Arial"/>
          <w:b/>
        </w:rPr>
        <w:fldChar w:fldCharType="separate"/>
      </w:r>
      <w:r w:rsidR="00277BEC" w:rsidRPr="00277BEC">
        <w:rPr>
          <w:rFonts w:cs="Arial"/>
          <w:b/>
          <w:noProof/>
        </w:rPr>
        <w:t>6</w:t>
      </w:r>
      <w:r w:rsidRPr="00277BEC">
        <w:rPr>
          <w:rFonts w:cs="Arial"/>
          <w:b/>
        </w:rPr>
        <w:fldChar w:fldCharType="end"/>
      </w:r>
      <w:r w:rsidRPr="00277BEC">
        <w:rPr>
          <w:rFonts w:cs="Arial"/>
        </w:rPr>
        <w:t xml:space="preserve">  Percentages of students in the school sample attaining the literacy requirement for NCEA by either or both of the unit and achievement standard pathways, who achieved NCEA Level 1 and NCEA Level 2, disaggregated by year level.</w:t>
      </w:r>
      <w:bookmarkEnd w:id="48"/>
      <w:r w:rsidRPr="00277BEC">
        <w:rPr>
          <w:rFonts w:cs="Arial"/>
        </w:rPr>
        <w:t xml:space="preserve"> </w:t>
      </w:r>
    </w:p>
    <w:tbl>
      <w:tblPr>
        <w:tblW w:w="8505"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998"/>
        <w:gridCol w:w="1329"/>
        <w:gridCol w:w="1328"/>
        <w:gridCol w:w="587"/>
        <w:gridCol w:w="1328"/>
        <w:gridCol w:w="1328"/>
        <w:gridCol w:w="607"/>
      </w:tblGrid>
      <w:tr w:rsidR="00250BCB" w:rsidRPr="00277BEC" w14:paraId="0F10308E" w14:textId="77777777" w:rsidTr="00250BCB">
        <w:trPr>
          <w:trHeight w:val="300"/>
          <w:tblCellSpacing w:w="20" w:type="dxa"/>
        </w:trPr>
        <w:tc>
          <w:tcPr>
            <w:tcW w:w="0" w:type="auto"/>
            <w:vMerge w:val="restart"/>
            <w:shd w:val="clear" w:color="auto" w:fill="auto"/>
            <w:noWrap/>
            <w:vAlign w:val="bottom"/>
            <w:hideMark/>
          </w:tcPr>
          <w:p w14:paraId="4A747596" w14:textId="77777777" w:rsidR="00250BCB" w:rsidRPr="00277BEC" w:rsidRDefault="00250BCB" w:rsidP="00250BCB">
            <w:pPr>
              <w:pStyle w:val="Tabletext"/>
              <w:rPr>
                <w:lang w:eastAsia="en-NZ"/>
              </w:rPr>
            </w:pPr>
            <w:r w:rsidRPr="00277BEC">
              <w:rPr>
                <w:lang w:eastAsia="en-NZ"/>
              </w:rPr>
              <w:t>Pathway</w:t>
            </w:r>
          </w:p>
        </w:tc>
        <w:tc>
          <w:tcPr>
            <w:tcW w:w="0" w:type="auto"/>
            <w:gridSpan w:val="3"/>
            <w:shd w:val="clear" w:color="auto" w:fill="auto"/>
            <w:noWrap/>
            <w:vAlign w:val="bottom"/>
            <w:hideMark/>
          </w:tcPr>
          <w:p w14:paraId="70CFE271" w14:textId="77777777" w:rsidR="00250BCB" w:rsidRPr="00277BEC" w:rsidRDefault="00250BCB" w:rsidP="00250BCB">
            <w:pPr>
              <w:pStyle w:val="Tabletext"/>
              <w:rPr>
                <w:lang w:eastAsia="en-NZ"/>
              </w:rPr>
            </w:pPr>
            <w:r w:rsidRPr="00277BEC">
              <w:rPr>
                <w:lang w:eastAsia="en-NZ"/>
              </w:rPr>
              <w:t>Year 11</w:t>
            </w:r>
          </w:p>
        </w:tc>
        <w:tc>
          <w:tcPr>
            <w:tcW w:w="0" w:type="auto"/>
            <w:gridSpan w:val="3"/>
            <w:shd w:val="clear" w:color="auto" w:fill="auto"/>
            <w:noWrap/>
            <w:vAlign w:val="bottom"/>
            <w:hideMark/>
          </w:tcPr>
          <w:p w14:paraId="722EF8EA" w14:textId="77777777" w:rsidR="00250BCB" w:rsidRPr="00277BEC" w:rsidRDefault="00250BCB" w:rsidP="00250BCB">
            <w:pPr>
              <w:pStyle w:val="Tabletext"/>
              <w:rPr>
                <w:lang w:eastAsia="en-NZ"/>
              </w:rPr>
            </w:pPr>
            <w:r w:rsidRPr="00277BEC">
              <w:rPr>
                <w:lang w:eastAsia="en-NZ"/>
              </w:rPr>
              <w:t>Year 12</w:t>
            </w:r>
          </w:p>
        </w:tc>
      </w:tr>
      <w:tr w:rsidR="00250BCB" w:rsidRPr="00277BEC" w14:paraId="0CF884E8" w14:textId="77777777" w:rsidTr="00250BCB">
        <w:trPr>
          <w:trHeight w:val="370"/>
          <w:tblCellSpacing w:w="20" w:type="dxa"/>
        </w:trPr>
        <w:tc>
          <w:tcPr>
            <w:tcW w:w="0" w:type="auto"/>
            <w:vMerge/>
            <w:shd w:val="clear" w:color="auto" w:fill="auto"/>
            <w:noWrap/>
            <w:vAlign w:val="bottom"/>
            <w:hideMark/>
          </w:tcPr>
          <w:p w14:paraId="7B2381B0" w14:textId="77777777" w:rsidR="00250BCB" w:rsidRPr="00277BEC" w:rsidRDefault="00250BCB" w:rsidP="00250BCB">
            <w:pPr>
              <w:pStyle w:val="Tabletext"/>
              <w:rPr>
                <w:lang w:eastAsia="en-NZ"/>
              </w:rPr>
            </w:pPr>
          </w:p>
        </w:tc>
        <w:tc>
          <w:tcPr>
            <w:tcW w:w="0" w:type="auto"/>
            <w:shd w:val="clear" w:color="auto" w:fill="auto"/>
            <w:vAlign w:val="bottom"/>
            <w:hideMark/>
          </w:tcPr>
          <w:p w14:paraId="1C332F6E" w14:textId="77777777" w:rsidR="00250BCB" w:rsidRPr="00277BEC" w:rsidRDefault="00250BCB" w:rsidP="00250BCB">
            <w:pPr>
              <w:pStyle w:val="Tabletext"/>
              <w:jc w:val="left"/>
              <w:rPr>
                <w:lang w:eastAsia="en-NZ"/>
              </w:rPr>
            </w:pPr>
            <w:r w:rsidRPr="00277BEC">
              <w:rPr>
                <w:lang w:eastAsia="en-NZ"/>
              </w:rPr>
              <w:t xml:space="preserve">% attaining NCEA L1 </w:t>
            </w:r>
          </w:p>
        </w:tc>
        <w:tc>
          <w:tcPr>
            <w:tcW w:w="0" w:type="auto"/>
            <w:shd w:val="clear" w:color="auto" w:fill="auto"/>
            <w:vAlign w:val="bottom"/>
            <w:hideMark/>
          </w:tcPr>
          <w:p w14:paraId="72AF576A" w14:textId="77777777" w:rsidR="00250BCB" w:rsidRPr="00277BEC" w:rsidRDefault="00250BCB" w:rsidP="00250BCB">
            <w:pPr>
              <w:pStyle w:val="Tabletext"/>
              <w:jc w:val="left"/>
              <w:rPr>
                <w:lang w:eastAsia="en-NZ"/>
              </w:rPr>
            </w:pPr>
            <w:r w:rsidRPr="00277BEC">
              <w:rPr>
                <w:lang w:eastAsia="en-NZ"/>
              </w:rPr>
              <w:t xml:space="preserve">% attaining NCEA L2 </w:t>
            </w:r>
          </w:p>
        </w:tc>
        <w:tc>
          <w:tcPr>
            <w:tcW w:w="0" w:type="auto"/>
            <w:shd w:val="clear" w:color="auto" w:fill="auto"/>
            <w:vAlign w:val="bottom"/>
            <w:hideMark/>
          </w:tcPr>
          <w:p w14:paraId="4BB97026" w14:textId="77777777" w:rsidR="00250BCB" w:rsidRPr="00277BEC" w:rsidRDefault="00250BCB" w:rsidP="00250BCB">
            <w:pPr>
              <w:pStyle w:val="Tabletext"/>
              <w:jc w:val="left"/>
              <w:rPr>
                <w:i/>
                <w:iCs/>
                <w:lang w:eastAsia="en-NZ"/>
              </w:rPr>
            </w:pPr>
            <w:r w:rsidRPr="00277BEC">
              <w:rPr>
                <w:i/>
                <w:iCs/>
                <w:lang w:eastAsia="en-NZ"/>
              </w:rPr>
              <w:t>n</w:t>
            </w:r>
          </w:p>
        </w:tc>
        <w:tc>
          <w:tcPr>
            <w:tcW w:w="0" w:type="auto"/>
            <w:shd w:val="clear" w:color="auto" w:fill="auto"/>
            <w:vAlign w:val="bottom"/>
            <w:hideMark/>
          </w:tcPr>
          <w:p w14:paraId="24103859" w14:textId="77777777" w:rsidR="00250BCB" w:rsidRPr="00277BEC" w:rsidRDefault="00250BCB" w:rsidP="00250BCB">
            <w:pPr>
              <w:pStyle w:val="Tabletext"/>
              <w:jc w:val="left"/>
              <w:rPr>
                <w:lang w:eastAsia="en-NZ"/>
              </w:rPr>
            </w:pPr>
            <w:r w:rsidRPr="00277BEC">
              <w:rPr>
                <w:lang w:eastAsia="en-NZ"/>
              </w:rPr>
              <w:t xml:space="preserve">% attaining NCEA L1 </w:t>
            </w:r>
          </w:p>
        </w:tc>
        <w:tc>
          <w:tcPr>
            <w:tcW w:w="0" w:type="auto"/>
            <w:shd w:val="clear" w:color="auto" w:fill="auto"/>
            <w:vAlign w:val="bottom"/>
            <w:hideMark/>
          </w:tcPr>
          <w:p w14:paraId="1D4E804E" w14:textId="77777777" w:rsidR="00250BCB" w:rsidRPr="00277BEC" w:rsidRDefault="00250BCB" w:rsidP="00250BCB">
            <w:pPr>
              <w:pStyle w:val="Tabletext"/>
              <w:jc w:val="left"/>
              <w:rPr>
                <w:lang w:eastAsia="en-NZ"/>
              </w:rPr>
            </w:pPr>
            <w:r w:rsidRPr="00277BEC">
              <w:rPr>
                <w:lang w:eastAsia="en-NZ"/>
              </w:rPr>
              <w:t xml:space="preserve">% attaining NCEA L2 </w:t>
            </w:r>
          </w:p>
        </w:tc>
        <w:tc>
          <w:tcPr>
            <w:tcW w:w="0" w:type="auto"/>
            <w:shd w:val="clear" w:color="auto" w:fill="auto"/>
            <w:vAlign w:val="bottom"/>
            <w:hideMark/>
          </w:tcPr>
          <w:p w14:paraId="679CFF3C" w14:textId="77777777" w:rsidR="00250BCB" w:rsidRPr="00277BEC" w:rsidRDefault="00250BCB" w:rsidP="00250BCB">
            <w:pPr>
              <w:pStyle w:val="Tabletext"/>
              <w:rPr>
                <w:i/>
                <w:lang w:eastAsia="en-NZ"/>
              </w:rPr>
            </w:pPr>
            <w:r w:rsidRPr="00277BEC">
              <w:rPr>
                <w:i/>
                <w:lang w:eastAsia="en-NZ"/>
              </w:rPr>
              <w:t>n</w:t>
            </w:r>
          </w:p>
        </w:tc>
      </w:tr>
      <w:tr w:rsidR="00250BCB" w:rsidRPr="00277BEC" w14:paraId="272B673E" w14:textId="77777777" w:rsidTr="00250BCB">
        <w:trPr>
          <w:trHeight w:val="300"/>
          <w:tblCellSpacing w:w="20" w:type="dxa"/>
        </w:trPr>
        <w:tc>
          <w:tcPr>
            <w:tcW w:w="0" w:type="auto"/>
            <w:shd w:val="clear" w:color="auto" w:fill="auto"/>
            <w:noWrap/>
            <w:vAlign w:val="bottom"/>
            <w:hideMark/>
          </w:tcPr>
          <w:p w14:paraId="350F5F2C" w14:textId="77777777" w:rsidR="00250BCB" w:rsidRPr="00277BEC" w:rsidRDefault="00250BCB" w:rsidP="00250BCB">
            <w:pPr>
              <w:pStyle w:val="Tabletext"/>
              <w:rPr>
                <w:lang w:eastAsia="en-NZ"/>
              </w:rPr>
            </w:pPr>
            <w:r w:rsidRPr="00277BEC">
              <w:rPr>
                <w:lang w:eastAsia="en-NZ"/>
              </w:rPr>
              <w:t>Literacy (AS only)</w:t>
            </w:r>
          </w:p>
        </w:tc>
        <w:tc>
          <w:tcPr>
            <w:tcW w:w="0" w:type="auto"/>
            <w:shd w:val="clear" w:color="auto" w:fill="auto"/>
            <w:noWrap/>
            <w:vAlign w:val="bottom"/>
            <w:hideMark/>
          </w:tcPr>
          <w:p w14:paraId="29C2D8E0" w14:textId="77777777" w:rsidR="00250BCB" w:rsidRPr="00277BEC" w:rsidRDefault="00250BCB" w:rsidP="00250BCB">
            <w:pPr>
              <w:pStyle w:val="Tabletext"/>
              <w:rPr>
                <w:lang w:eastAsia="en-NZ"/>
              </w:rPr>
            </w:pPr>
            <w:r w:rsidRPr="00277BEC">
              <w:rPr>
                <w:lang w:eastAsia="en-NZ"/>
              </w:rPr>
              <w:t>77.8</w:t>
            </w:r>
          </w:p>
        </w:tc>
        <w:tc>
          <w:tcPr>
            <w:tcW w:w="0" w:type="auto"/>
            <w:shd w:val="clear" w:color="auto" w:fill="auto"/>
            <w:noWrap/>
            <w:vAlign w:val="bottom"/>
            <w:hideMark/>
          </w:tcPr>
          <w:p w14:paraId="3306E490" w14:textId="77777777" w:rsidR="00250BCB" w:rsidRPr="00277BEC" w:rsidRDefault="00250BCB" w:rsidP="00250BCB">
            <w:pPr>
              <w:pStyle w:val="Tabletext"/>
              <w:rPr>
                <w:lang w:eastAsia="en-NZ"/>
              </w:rPr>
            </w:pPr>
            <w:r w:rsidRPr="00277BEC">
              <w:rPr>
                <w:lang w:eastAsia="en-NZ"/>
              </w:rPr>
              <w:t>0.5</w:t>
            </w:r>
          </w:p>
        </w:tc>
        <w:tc>
          <w:tcPr>
            <w:tcW w:w="0" w:type="auto"/>
            <w:shd w:val="clear" w:color="auto" w:fill="auto"/>
            <w:noWrap/>
            <w:vAlign w:val="bottom"/>
            <w:hideMark/>
          </w:tcPr>
          <w:p w14:paraId="2A7B4453" w14:textId="77777777" w:rsidR="00250BCB" w:rsidRPr="00277BEC" w:rsidRDefault="00250BCB" w:rsidP="00250BCB">
            <w:pPr>
              <w:pStyle w:val="Tabletext"/>
              <w:rPr>
                <w:lang w:eastAsia="en-NZ"/>
              </w:rPr>
            </w:pPr>
            <w:r w:rsidRPr="00277BEC">
              <w:rPr>
                <w:lang w:eastAsia="en-NZ"/>
              </w:rPr>
              <w:t>577</w:t>
            </w:r>
          </w:p>
        </w:tc>
        <w:tc>
          <w:tcPr>
            <w:tcW w:w="0" w:type="auto"/>
            <w:shd w:val="clear" w:color="auto" w:fill="auto"/>
            <w:noWrap/>
            <w:vAlign w:val="bottom"/>
            <w:hideMark/>
          </w:tcPr>
          <w:p w14:paraId="55F90017" w14:textId="77777777" w:rsidR="00250BCB" w:rsidRPr="00277BEC" w:rsidRDefault="00250BCB" w:rsidP="00250BCB">
            <w:pPr>
              <w:pStyle w:val="Tabletext"/>
              <w:rPr>
                <w:lang w:eastAsia="en-NZ"/>
              </w:rPr>
            </w:pPr>
            <w:r w:rsidRPr="00277BEC">
              <w:rPr>
                <w:lang w:eastAsia="en-NZ"/>
              </w:rPr>
              <w:t>97.5</w:t>
            </w:r>
          </w:p>
        </w:tc>
        <w:tc>
          <w:tcPr>
            <w:tcW w:w="0" w:type="auto"/>
            <w:shd w:val="clear" w:color="auto" w:fill="auto"/>
            <w:noWrap/>
            <w:vAlign w:val="bottom"/>
            <w:hideMark/>
          </w:tcPr>
          <w:p w14:paraId="4C854753" w14:textId="77777777" w:rsidR="00250BCB" w:rsidRPr="00277BEC" w:rsidRDefault="00250BCB" w:rsidP="00250BCB">
            <w:pPr>
              <w:pStyle w:val="Tabletext"/>
              <w:rPr>
                <w:lang w:eastAsia="en-NZ"/>
              </w:rPr>
            </w:pPr>
            <w:r w:rsidRPr="00277BEC">
              <w:rPr>
                <w:lang w:eastAsia="en-NZ"/>
              </w:rPr>
              <w:t>89.2</w:t>
            </w:r>
          </w:p>
        </w:tc>
        <w:tc>
          <w:tcPr>
            <w:tcW w:w="0" w:type="auto"/>
            <w:shd w:val="clear" w:color="auto" w:fill="auto"/>
            <w:noWrap/>
            <w:vAlign w:val="bottom"/>
            <w:hideMark/>
          </w:tcPr>
          <w:p w14:paraId="300E143E" w14:textId="77777777" w:rsidR="00250BCB" w:rsidRPr="00277BEC" w:rsidRDefault="00250BCB" w:rsidP="00250BCB">
            <w:pPr>
              <w:pStyle w:val="Tabletext"/>
              <w:rPr>
                <w:lang w:eastAsia="en-NZ"/>
              </w:rPr>
            </w:pPr>
            <w:r w:rsidRPr="00277BEC">
              <w:rPr>
                <w:lang w:eastAsia="en-NZ"/>
              </w:rPr>
              <w:t>628</w:t>
            </w:r>
          </w:p>
        </w:tc>
      </w:tr>
      <w:tr w:rsidR="00250BCB" w:rsidRPr="00277BEC" w14:paraId="4E4967F2" w14:textId="77777777" w:rsidTr="00250BCB">
        <w:trPr>
          <w:trHeight w:val="300"/>
          <w:tblCellSpacing w:w="20" w:type="dxa"/>
        </w:trPr>
        <w:tc>
          <w:tcPr>
            <w:tcW w:w="0" w:type="auto"/>
            <w:shd w:val="clear" w:color="auto" w:fill="auto"/>
            <w:noWrap/>
            <w:vAlign w:val="bottom"/>
            <w:hideMark/>
          </w:tcPr>
          <w:p w14:paraId="47246B66" w14:textId="77777777" w:rsidR="00250BCB" w:rsidRPr="00277BEC" w:rsidRDefault="00250BCB" w:rsidP="00250BCB">
            <w:pPr>
              <w:pStyle w:val="Tabletext"/>
              <w:rPr>
                <w:lang w:eastAsia="en-NZ"/>
              </w:rPr>
            </w:pPr>
            <w:r w:rsidRPr="00277BEC">
              <w:rPr>
                <w:lang w:eastAsia="en-NZ"/>
              </w:rPr>
              <w:t>Literacy (US only)</w:t>
            </w:r>
          </w:p>
        </w:tc>
        <w:tc>
          <w:tcPr>
            <w:tcW w:w="0" w:type="auto"/>
            <w:shd w:val="clear" w:color="auto" w:fill="auto"/>
            <w:noWrap/>
            <w:vAlign w:val="bottom"/>
            <w:hideMark/>
          </w:tcPr>
          <w:p w14:paraId="5B38F288" w14:textId="77777777" w:rsidR="00250BCB" w:rsidRPr="00277BEC" w:rsidRDefault="00250BCB" w:rsidP="00250BCB">
            <w:pPr>
              <w:pStyle w:val="Tabletext"/>
              <w:rPr>
                <w:lang w:eastAsia="en-NZ"/>
              </w:rPr>
            </w:pPr>
            <w:r w:rsidRPr="00277BEC">
              <w:rPr>
                <w:lang w:eastAsia="en-NZ"/>
              </w:rPr>
              <w:t>41.2</w:t>
            </w:r>
          </w:p>
        </w:tc>
        <w:tc>
          <w:tcPr>
            <w:tcW w:w="0" w:type="auto"/>
            <w:shd w:val="clear" w:color="auto" w:fill="auto"/>
            <w:noWrap/>
            <w:vAlign w:val="bottom"/>
            <w:hideMark/>
          </w:tcPr>
          <w:p w14:paraId="32BD3A60" w14:textId="77777777" w:rsidR="00250BCB" w:rsidRPr="00277BEC" w:rsidRDefault="00250BCB" w:rsidP="00250BCB">
            <w:pPr>
              <w:pStyle w:val="Tabletext"/>
              <w:rPr>
                <w:lang w:eastAsia="en-NZ"/>
              </w:rPr>
            </w:pPr>
            <w:r w:rsidRPr="00277BEC">
              <w:rPr>
                <w:lang w:eastAsia="en-NZ"/>
              </w:rPr>
              <w:t>0.0</w:t>
            </w:r>
          </w:p>
        </w:tc>
        <w:tc>
          <w:tcPr>
            <w:tcW w:w="0" w:type="auto"/>
            <w:shd w:val="clear" w:color="auto" w:fill="auto"/>
            <w:noWrap/>
            <w:vAlign w:val="bottom"/>
            <w:hideMark/>
          </w:tcPr>
          <w:p w14:paraId="20754F17" w14:textId="77777777" w:rsidR="00250BCB" w:rsidRPr="00277BEC" w:rsidRDefault="00250BCB" w:rsidP="00250BCB">
            <w:pPr>
              <w:pStyle w:val="Tabletext"/>
              <w:rPr>
                <w:lang w:eastAsia="en-NZ"/>
              </w:rPr>
            </w:pPr>
            <w:r w:rsidRPr="00277BEC">
              <w:rPr>
                <w:lang w:eastAsia="en-NZ"/>
              </w:rPr>
              <w:t>17</w:t>
            </w:r>
          </w:p>
        </w:tc>
        <w:tc>
          <w:tcPr>
            <w:tcW w:w="0" w:type="auto"/>
            <w:shd w:val="clear" w:color="auto" w:fill="auto"/>
            <w:noWrap/>
            <w:vAlign w:val="bottom"/>
            <w:hideMark/>
          </w:tcPr>
          <w:p w14:paraId="4F67F381" w14:textId="77777777" w:rsidR="00250BCB" w:rsidRPr="00277BEC" w:rsidRDefault="00250BCB" w:rsidP="00250BCB">
            <w:pPr>
              <w:pStyle w:val="Tabletext"/>
              <w:rPr>
                <w:lang w:eastAsia="en-NZ"/>
              </w:rPr>
            </w:pPr>
            <w:r w:rsidRPr="00277BEC">
              <w:rPr>
                <w:lang w:eastAsia="en-NZ"/>
              </w:rPr>
              <w:t>100.0</w:t>
            </w:r>
          </w:p>
        </w:tc>
        <w:tc>
          <w:tcPr>
            <w:tcW w:w="0" w:type="auto"/>
            <w:shd w:val="clear" w:color="auto" w:fill="auto"/>
            <w:noWrap/>
            <w:vAlign w:val="bottom"/>
            <w:hideMark/>
          </w:tcPr>
          <w:p w14:paraId="61F58702" w14:textId="77777777" w:rsidR="00250BCB" w:rsidRPr="00277BEC" w:rsidRDefault="00250BCB" w:rsidP="00250BCB">
            <w:pPr>
              <w:pStyle w:val="Tabletext"/>
              <w:rPr>
                <w:lang w:eastAsia="en-NZ"/>
              </w:rPr>
            </w:pPr>
            <w:r w:rsidRPr="00277BEC">
              <w:rPr>
                <w:lang w:eastAsia="en-NZ"/>
              </w:rPr>
              <w:t>60.0</w:t>
            </w:r>
          </w:p>
        </w:tc>
        <w:tc>
          <w:tcPr>
            <w:tcW w:w="0" w:type="auto"/>
            <w:shd w:val="clear" w:color="auto" w:fill="auto"/>
            <w:noWrap/>
            <w:vAlign w:val="bottom"/>
            <w:hideMark/>
          </w:tcPr>
          <w:p w14:paraId="23494E31" w14:textId="77777777" w:rsidR="00250BCB" w:rsidRPr="00277BEC" w:rsidRDefault="00250BCB" w:rsidP="00250BCB">
            <w:pPr>
              <w:pStyle w:val="Tabletext"/>
              <w:rPr>
                <w:lang w:eastAsia="en-NZ"/>
              </w:rPr>
            </w:pPr>
            <w:r w:rsidRPr="00277BEC">
              <w:rPr>
                <w:lang w:eastAsia="en-NZ"/>
              </w:rPr>
              <w:t>10</w:t>
            </w:r>
          </w:p>
        </w:tc>
      </w:tr>
      <w:tr w:rsidR="00250BCB" w:rsidRPr="00277BEC" w14:paraId="080C43E6" w14:textId="77777777" w:rsidTr="00250BCB">
        <w:trPr>
          <w:trHeight w:val="300"/>
          <w:tblCellSpacing w:w="20" w:type="dxa"/>
        </w:trPr>
        <w:tc>
          <w:tcPr>
            <w:tcW w:w="0" w:type="auto"/>
            <w:shd w:val="clear" w:color="auto" w:fill="auto"/>
            <w:noWrap/>
            <w:vAlign w:val="bottom"/>
            <w:hideMark/>
          </w:tcPr>
          <w:p w14:paraId="712586F4" w14:textId="77777777" w:rsidR="00250BCB" w:rsidRPr="00277BEC" w:rsidRDefault="00250BCB" w:rsidP="00250BCB">
            <w:pPr>
              <w:pStyle w:val="Tabletext"/>
              <w:rPr>
                <w:lang w:eastAsia="en-NZ"/>
              </w:rPr>
            </w:pPr>
            <w:r w:rsidRPr="00277BEC">
              <w:rPr>
                <w:lang w:eastAsia="en-NZ"/>
              </w:rPr>
              <w:t>Literacy (AS and US)</w:t>
            </w:r>
          </w:p>
        </w:tc>
        <w:tc>
          <w:tcPr>
            <w:tcW w:w="0" w:type="auto"/>
            <w:shd w:val="clear" w:color="auto" w:fill="auto"/>
            <w:noWrap/>
            <w:vAlign w:val="bottom"/>
            <w:hideMark/>
          </w:tcPr>
          <w:p w14:paraId="47B728E4" w14:textId="77777777" w:rsidR="00250BCB" w:rsidRPr="00277BEC" w:rsidRDefault="00250BCB" w:rsidP="00250BCB">
            <w:pPr>
              <w:pStyle w:val="Tabletext"/>
              <w:rPr>
                <w:lang w:eastAsia="en-NZ"/>
              </w:rPr>
            </w:pPr>
            <w:r w:rsidRPr="00277BEC">
              <w:rPr>
                <w:lang w:eastAsia="en-NZ"/>
              </w:rPr>
              <w:t>90.0</w:t>
            </w:r>
          </w:p>
        </w:tc>
        <w:tc>
          <w:tcPr>
            <w:tcW w:w="0" w:type="auto"/>
            <w:shd w:val="clear" w:color="auto" w:fill="auto"/>
            <w:noWrap/>
            <w:vAlign w:val="bottom"/>
            <w:hideMark/>
          </w:tcPr>
          <w:p w14:paraId="58A87C2F" w14:textId="77777777" w:rsidR="00250BCB" w:rsidRPr="00277BEC" w:rsidRDefault="00250BCB" w:rsidP="00250BCB">
            <w:pPr>
              <w:pStyle w:val="Tabletext"/>
              <w:rPr>
                <w:lang w:eastAsia="en-NZ"/>
              </w:rPr>
            </w:pPr>
            <w:r w:rsidRPr="00277BEC">
              <w:rPr>
                <w:lang w:eastAsia="en-NZ"/>
              </w:rPr>
              <w:t>0.0</w:t>
            </w:r>
          </w:p>
        </w:tc>
        <w:tc>
          <w:tcPr>
            <w:tcW w:w="0" w:type="auto"/>
            <w:shd w:val="clear" w:color="auto" w:fill="auto"/>
            <w:noWrap/>
            <w:vAlign w:val="bottom"/>
            <w:hideMark/>
          </w:tcPr>
          <w:p w14:paraId="52B0EA3E" w14:textId="77777777" w:rsidR="00250BCB" w:rsidRPr="00277BEC" w:rsidRDefault="00250BCB" w:rsidP="00250BCB">
            <w:pPr>
              <w:pStyle w:val="Tabletext"/>
              <w:rPr>
                <w:lang w:eastAsia="en-NZ"/>
              </w:rPr>
            </w:pPr>
            <w:r w:rsidRPr="00277BEC">
              <w:rPr>
                <w:lang w:eastAsia="en-NZ"/>
              </w:rPr>
              <w:t>20</w:t>
            </w:r>
          </w:p>
        </w:tc>
        <w:tc>
          <w:tcPr>
            <w:tcW w:w="0" w:type="auto"/>
            <w:shd w:val="clear" w:color="auto" w:fill="auto"/>
            <w:noWrap/>
            <w:vAlign w:val="bottom"/>
            <w:hideMark/>
          </w:tcPr>
          <w:p w14:paraId="68173E30" w14:textId="77777777" w:rsidR="00250BCB" w:rsidRPr="00277BEC" w:rsidRDefault="00250BCB" w:rsidP="00250BCB">
            <w:pPr>
              <w:pStyle w:val="Tabletext"/>
              <w:rPr>
                <w:lang w:eastAsia="en-NZ"/>
              </w:rPr>
            </w:pPr>
            <w:r w:rsidRPr="00277BEC">
              <w:rPr>
                <w:lang w:eastAsia="en-NZ"/>
              </w:rPr>
              <w:t>97.4</w:t>
            </w:r>
          </w:p>
        </w:tc>
        <w:tc>
          <w:tcPr>
            <w:tcW w:w="0" w:type="auto"/>
            <w:shd w:val="clear" w:color="auto" w:fill="auto"/>
            <w:noWrap/>
            <w:vAlign w:val="bottom"/>
            <w:hideMark/>
          </w:tcPr>
          <w:p w14:paraId="5EB9A654" w14:textId="77777777" w:rsidR="00250BCB" w:rsidRPr="00277BEC" w:rsidRDefault="00250BCB" w:rsidP="00250BCB">
            <w:pPr>
              <w:pStyle w:val="Tabletext"/>
              <w:rPr>
                <w:lang w:eastAsia="en-NZ"/>
              </w:rPr>
            </w:pPr>
            <w:r w:rsidRPr="00277BEC">
              <w:rPr>
                <w:lang w:eastAsia="en-NZ"/>
              </w:rPr>
              <w:t>78.9</w:t>
            </w:r>
          </w:p>
        </w:tc>
        <w:tc>
          <w:tcPr>
            <w:tcW w:w="0" w:type="auto"/>
            <w:shd w:val="clear" w:color="auto" w:fill="auto"/>
            <w:noWrap/>
            <w:vAlign w:val="bottom"/>
            <w:hideMark/>
          </w:tcPr>
          <w:p w14:paraId="132EDE21" w14:textId="77777777" w:rsidR="00250BCB" w:rsidRPr="00277BEC" w:rsidRDefault="00250BCB" w:rsidP="00250BCB">
            <w:pPr>
              <w:pStyle w:val="Tabletext"/>
              <w:rPr>
                <w:lang w:eastAsia="en-NZ"/>
              </w:rPr>
            </w:pPr>
            <w:r w:rsidRPr="00277BEC">
              <w:rPr>
                <w:lang w:eastAsia="en-NZ"/>
              </w:rPr>
              <w:t>38</w:t>
            </w:r>
          </w:p>
        </w:tc>
      </w:tr>
    </w:tbl>
    <w:p w14:paraId="484355FC" w14:textId="77777777" w:rsidR="00E14253" w:rsidRPr="00277BEC" w:rsidRDefault="00E14253" w:rsidP="00250BCB">
      <w:pPr>
        <w:pStyle w:val="BodyText"/>
        <w:rPr>
          <w:rFonts w:ascii="Arial" w:hAnsi="Arial" w:cs="Arial"/>
        </w:rPr>
      </w:pPr>
    </w:p>
    <w:p w14:paraId="5A33E159" w14:textId="6FA1FBE0" w:rsidR="00250BCB" w:rsidRPr="00277BEC" w:rsidRDefault="00250BCB" w:rsidP="0040100E">
      <w:pPr>
        <w:pStyle w:val="BodyText"/>
        <w:jc w:val="left"/>
        <w:rPr>
          <w:rFonts w:ascii="Arial" w:hAnsi="Arial" w:cs="Arial"/>
        </w:rPr>
      </w:pPr>
      <w:r w:rsidRPr="00277BEC">
        <w:rPr>
          <w:rFonts w:ascii="Arial" w:hAnsi="Arial" w:cs="Arial"/>
        </w:rPr>
        <w:t xml:space="preserve">The following analyses address the tertiary cohort data. In some cases students had been assessed more than once on one or both of the numeracy and literacy tool measures. In these cases, the most recent measurement was used. Furthermore, in the logistic regression analyses estimating the probabilities of attaining various certifications (e.g. the NCEA literacy requirement), if students had attained the </w:t>
      </w:r>
      <w:r w:rsidRPr="00277BEC">
        <w:rPr>
          <w:rFonts w:ascii="Arial" w:hAnsi="Arial" w:cs="Arial"/>
        </w:rPr>
        <w:lastRenderedPageBreak/>
        <w:t xml:space="preserve">certification, they were included in the analysis only if their assessment tool data was collected in the same year as the one in which they attained that certification, or in a later year. A caveat on all of these analyses is that tertiary students were not necessarily aiming to attain the certifications in question. </w:t>
      </w:r>
    </w:p>
    <w:p w14:paraId="13590873" w14:textId="77777777" w:rsidR="00250BCB" w:rsidRPr="00277BEC" w:rsidRDefault="00250BCB" w:rsidP="0040100E">
      <w:pPr>
        <w:pStyle w:val="BodyText"/>
        <w:jc w:val="left"/>
        <w:rPr>
          <w:rFonts w:ascii="Arial" w:hAnsi="Arial" w:cs="Arial"/>
        </w:rPr>
      </w:pPr>
      <w:r w:rsidRPr="00277BEC">
        <w:rPr>
          <w:rFonts w:ascii="Arial" w:hAnsi="Arial" w:cs="Arial"/>
        </w:rPr>
        <w:t xml:space="preserve">Figure 4 shows a graphic depiction of a logistic regression analysis estimating the probability of attaining the numeracy requirement for NCEA Level 1 (by any pathway) conditioned on numeracy scale location. The analysis used data only from the tertiary cohort; the large numbers in this sample increase the reliability of the results. </w:t>
      </w:r>
    </w:p>
    <w:p w14:paraId="59A5D395" w14:textId="5238EE6E" w:rsidR="00250BCB" w:rsidRPr="00277BEC" w:rsidRDefault="00250BCB" w:rsidP="0040100E">
      <w:pPr>
        <w:pStyle w:val="BodyText"/>
        <w:jc w:val="left"/>
        <w:rPr>
          <w:rFonts w:ascii="Arial" w:hAnsi="Arial" w:cs="Arial"/>
        </w:rPr>
      </w:pPr>
      <w:r w:rsidRPr="00277BEC">
        <w:rPr>
          <w:rFonts w:ascii="Arial" w:hAnsi="Arial" w:cs="Arial"/>
        </w:rPr>
        <w:t xml:space="preserve">Figure 4 suggests that performance on the numeracy scale does not strongly distinguish students who are likely to attain the numeracy requirement from those who are not; despite the considerable increment in the numeracy skills designated at each successive step of the learning progressions, there is only a modest increase in the probability of attaining the numeracy requirement associated with these increments. Students at the top of </w:t>
      </w:r>
      <w:r w:rsidR="00F53AC3">
        <w:rPr>
          <w:rFonts w:ascii="Arial" w:hAnsi="Arial" w:cs="Arial"/>
        </w:rPr>
        <w:t>S</w:t>
      </w:r>
      <w:r w:rsidRPr="00277BEC">
        <w:rPr>
          <w:rFonts w:ascii="Arial" w:hAnsi="Arial" w:cs="Arial"/>
        </w:rPr>
        <w:t>tep 1 on the numeracy learning progressions have approximately a 40</w:t>
      </w:r>
      <w:r w:rsidR="00F53AC3">
        <w:rPr>
          <w:rFonts w:ascii="Arial" w:hAnsi="Arial" w:cs="Arial"/>
        </w:rPr>
        <w:t xml:space="preserve"> percent</w:t>
      </w:r>
      <w:r w:rsidRPr="00277BEC">
        <w:rPr>
          <w:rFonts w:ascii="Arial" w:hAnsi="Arial" w:cs="Arial"/>
        </w:rPr>
        <w:t xml:space="preserve"> probability of attaining the requirement and those at the bottom of </w:t>
      </w:r>
      <w:r w:rsidR="00F53AC3">
        <w:rPr>
          <w:rFonts w:ascii="Arial" w:hAnsi="Arial" w:cs="Arial"/>
        </w:rPr>
        <w:t>S</w:t>
      </w:r>
      <w:r w:rsidRPr="00277BEC">
        <w:rPr>
          <w:rFonts w:ascii="Arial" w:hAnsi="Arial" w:cs="Arial"/>
        </w:rPr>
        <w:t>tep 6, approximately a 90</w:t>
      </w:r>
      <w:r w:rsidR="00F53AC3">
        <w:rPr>
          <w:rFonts w:ascii="Arial" w:hAnsi="Arial" w:cs="Arial"/>
        </w:rPr>
        <w:t xml:space="preserve"> percent</w:t>
      </w:r>
      <w:r w:rsidR="00F53AC3" w:rsidRPr="00277BEC">
        <w:rPr>
          <w:rFonts w:ascii="Arial" w:hAnsi="Arial" w:cs="Arial"/>
        </w:rPr>
        <w:t xml:space="preserve"> </w:t>
      </w:r>
      <w:r w:rsidRPr="00277BEC">
        <w:rPr>
          <w:rFonts w:ascii="Arial" w:hAnsi="Arial" w:cs="Arial"/>
        </w:rPr>
        <w:t xml:space="preserve">probability. Steps 1 and 6 are vastly different in terms of the numeracy capabilities they represent. For example, students at </w:t>
      </w:r>
      <w:r w:rsidR="00F53AC3">
        <w:rPr>
          <w:rFonts w:ascii="Arial" w:hAnsi="Arial" w:cs="Arial"/>
        </w:rPr>
        <w:t>S</w:t>
      </w:r>
      <w:r w:rsidRPr="00277BEC">
        <w:rPr>
          <w:rFonts w:ascii="Arial" w:hAnsi="Arial" w:cs="Arial"/>
        </w:rPr>
        <w:t xml:space="preserve">tep 1 are limited to counting to solve simple single-step problems, whereas students at </w:t>
      </w:r>
      <w:r w:rsidR="00F53AC3">
        <w:rPr>
          <w:rFonts w:ascii="Arial" w:hAnsi="Arial" w:cs="Arial"/>
        </w:rPr>
        <w:t>S</w:t>
      </w:r>
      <w:r w:rsidRPr="00277BEC">
        <w:rPr>
          <w:rFonts w:ascii="Arial" w:hAnsi="Arial" w:cs="Arial"/>
        </w:rPr>
        <w:t>tep 6 are able to solve complex proportional problems with understanding.</w:t>
      </w:r>
    </w:p>
    <w:p w14:paraId="49B2D09F" w14:textId="04B735A6" w:rsidR="00E14253" w:rsidRPr="00277BEC" w:rsidRDefault="00250BCB" w:rsidP="0040100E">
      <w:pPr>
        <w:pStyle w:val="BodyText"/>
        <w:jc w:val="left"/>
        <w:rPr>
          <w:rFonts w:ascii="Arial" w:hAnsi="Arial" w:cs="Arial"/>
        </w:rPr>
      </w:pPr>
      <w:r w:rsidRPr="00277BEC">
        <w:rPr>
          <w:rFonts w:ascii="Arial" w:hAnsi="Arial" w:cs="Arial"/>
        </w:rPr>
        <w:t xml:space="preserve">The relatively poor discrimination evident in the analysis presented in Figure 4 might be a result either of unreliable measurement by the Assessment Tool itself, or of variability in the level of numeracy that is required for different students to meet the numeracy requirement for NCEA. The latter is much more likely than the former; psychometric analysis of the Assessment Tool shows that it measures reliably and that most of the variability in performance is explained by a single dimension </w:t>
      </w:r>
      <w:r w:rsidR="00365536" w:rsidRPr="00277BEC">
        <w:rPr>
          <w:rFonts w:ascii="Arial" w:hAnsi="Arial" w:cs="Arial"/>
        </w:rPr>
        <w:t>(</w:t>
      </w:r>
      <w:proofErr w:type="spellStart"/>
      <w:r w:rsidR="00365536" w:rsidRPr="00277BEC">
        <w:rPr>
          <w:rFonts w:ascii="Arial" w:hAnsi="Arial" w:cs="Arial"/>
        </w:rPr>
        <w:t>Darr</w:t>
      </w:r>
      <w:proofErr w:type="spellEnd"/>
      <w:r w:rsidR="00365536" w:rsidRPr="00277BEC">
        <w:rPr>
          <w:rFonts w:ascii="Arial" w:hAnsi="Arial" w:cs="Arial"/>
        </w:rPr>
        <w:t xml:space="preserve">, 2010). </w:t>
      </w:r>
      <w:r w:rsidRPr="00277BEC">
        <w:rPr>
          <w:rFonts w:ascii="Arial" w:hAnsi="Arial" w:cs="Arial"/>
        </w:rPr>
        <w:t xml:space="preserve">On the other hand, the numeracy requirement for NCEA is very diffuse; that is, in 2011 and 2012 there were three pathways by which it could be attained (although there are now only two), and for the achievement standard pathway in particular, there are over 90 standards that can contribute to it, which are likely to vary widely in their numeracy demands. </w:t>
      </w:r>
    </w:p>
    <w:p w14:paraId="0391E319" w14:textId="77777777" w:rsidR="00E14253" w:rsidRPr="00277BEC" w:rsidRDefault="00E14253">
      <w:pPr>
        <w:spacing w:after="0" w:line="240" w:lineRule="auto"/>
        <w:jc w:val="left"/>
        <w:rPr>
          <w:rFonts w:ascii="Arial" w:eastAsia="Times" w:hAnsi="Arial" w:cs="Arial"/>
          <w:szCs w:val="20"/>
        </w:rPr>
      </w:pPr>
      <w:r w:rsidRPr="00277BEC">
        <w:rPr>
          <w:rFonts w:ascii="Arial" w:hAnsi="Arial" w:cs="Arial"/>
        </w:rPr>
        <w:br w:type="page"/>
      </w:r>
    </w:p>
    <w:p w14:paraId="7B8CDDEE" w14:textId="3613B89A" w:rsidR="00250BCB" w:rsidRPr="00277BEC" w:rsidRDefault="00054FEA" w:rsidP="00250BCB">
      <w:pPr>
        <w:pStyle w:val="BodyText"/>
        <w:spacing w:after="0" w:line="276" w:lineRule="auto"/>
        <w:rPr>
          <w:rFonts w:ascii="Arial" w:hAnsi="Arial" w:cs="Arial"/>
        </w:rPr>
      </w:pPr>
      <w:r w:rsidRPr="00277BEC">
        <w:rPr>
          <w:rFonts w:ascii="Arial" w:hAnsi="Arial" w:cs="Arial"/>
          <w:noProof/>
          <w:lang w:val="en-NZ" w:eastAsia="en-NZ"/>
        </w:rPr>
        <w:lastRenderedPageBreak/>
        <w:drawing>
          <wp:inline distT="0" distB="0" distL="0" distR="0" wp14:anchorId="2D9DCBC8" wp14:editId="059535F3">
            <wp:extent cx="4392000" cy="2625902"/>
            <wp:effectExtent l="25400" t="25400" r="27940" b="158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4">
                      <a:extLst>
                        <a:ext uri="{28A0092B-C50C-407E-A947-70E740481C1C}">
                          <a14:useLocalDpi xmlns:a14="http://schemas.microsoft.com/office/drawing/2010/main" val="0"/>
                        </a:ext>
                      </a:extLst>
                    </a:blip>
                    <a:stretch>
                      <a:fillRect/>
                    </a:stretch>
                  </pic:blipFill>
                  <pic:spPr>
                    <a:xfrm>
                      <a:off x="0" y="0"/>
                      <a:ext cx="4392000" cy="2625902"/>
                    </a:xfrm>
                    <a:prstGeom prst="rect">
                      <a:avLst/>
                    </a:prstGeom>
                    <a:ln>
                      <a:solidFill>
                        <a:schemeClr val="bg1">
                          <a:lumMod val="50000"/>
                        </a:schemeClr>
                      </a:solidFill>
                    </a:ln>
                  </pic:spPr>
                </pic:pic>
              </a:graphicData>
            </a:graphic>
          </wp:inline>
        </w:drawing>
      </w:r>
    </w:p>
    <w:p w14:paraId="662AF8C2" w14:textId="77777777" w:rsidR="00250BCB" w:rsidRPr="00277BEC" w:rsidRDefault="00250BCB" w:rsidP="00F53AC3">
      <w:pPr>
        <w:pStyle w:val="Caption"/>
        <w:keepNext/>
        <w:jc w:val="left"/>
        <w:rPr>
          <w:rFonts w:cs="Arial"/>
        </w:rPr>
      </w:pPr>
      <w:bookmarkStart w:id="49" w:name="_Toc417920077"/>
      <w:r w:rsidRPr="00277BEC">
        <w:rPr>
          <w:rFonts w:cs="Arial"/>
          <w:b/>
        </w:rPr>
        <w:t xml:space="preserve">Figure </w:t>
      </w:r>
      <w:r w:rsidRPr="00277BEC">
        <w:rPr>
          <w:rFonts w:cs="Arial"/>
          <w:b/>
        </w:rPr>
        <w:fldChar w:fldCharType="begin"/>
      </w:r>
      <w:r w:rsidRPr="00277BEC">
        <w:rPr>
          <w:rFonts w:cs="Arial"/>
          <w:b/>
        </w:rPr>
        <w:instrText xml:space="preserve"> SEQ Figure \* ARABIC </w:instrText>
      </w:r>
      <w:r w:rsidRPr="00277BEC">
        <w:rPr>
          <w:rFonts w:cs="Arial"/>
          <w:b/>
        </w:rPr>
        <w:fldChar w:fldCharType="separate"/>
      </w:r>
      <w:r w:rsidR="00277BEC" w:rsidRPr="00277BEC">
        <w:rPr>
          <w:rFonts w:cs="Arial"/>
          <w:b/>
          <w:noProof/>
        </w:rPr>
        <w:t>4</w:t>
      </w:r>
      <w:r w:rsidRPr="00277BEC">
        <w:rPr>
          <w:rFonts w:cs="Arial"/>
          <w:b/>
        </w:rPr>
        <w:fldChar w:fldCharType="end"/>
      </w:r>
      <w:r w:rsidRPr="00277BEC">
        <w:rPr>
          <w:rFonts w:cs="Arial"/>
        </w:rPr>
        <w:t xml:space="preserve"> Probability of attaining the numeracy requirement for NCEA conditioned on the numeracy scale score. Probabilities were estimated using logistic regression. </w:t>
      </w:r>
      <w:proofErr w:type="gramStart"/>
      <w:r w:rsidRPr="00277BEC">
        <w:rPr>
          <w:rFonts w:cs="Arial"/>
        </w:rPr>
        <w:t>Tertiary cohort.</w:t>
      </w:r>
      <w:bookmarkEnd w:id="49"/>
      <w:proofErr w:type="gramEnd"/>
      <w:r w:rsidRPr="00277BEC">
        <w:rPr>
          <w:rFonts w:cs="Arial"/>
        </w:rPr>
        <w:t xml:space="preserve"> </w:t>
      </w:r>
    </w:p>
    <w:p w14:paraId="199609B7" w14:textId="2267C297" w:rsidR="00250BCB" w:rsidRPr="00277BEC" w:rsidRDefault="00250BCB" w:rsidP="00F53AC3">
      <w:pPr>
        <w:pStyle w:val="BodyText"/>
        <w:jc w:val="left"/>
        <w:rPr>
          <w:rFonts w:ascii="Arial" w:hAnsi="Arial" w:cs="Arial"/>
        </w:rPr>
      </w:pPr>
      <w:r w:rsidRPr="00277BEC">
        <w:rPr>
          <w:rFonts w:ascii="Arial" w:hAnsi="Arial" w:cs="Arial"/>
        </w:rPr>
        <w:t xml:space="preserve">The analysis presented in Figure 4 shows that performance well below </w:t>
      </w:r>
      <w:r w:rsidR="00F53AC3">
        <w:rPr>
          <w:rFonts w:ascii="Arial" w:hAnsi="Arial" w:cs="Arial"/>
        </w:rPr>
        <w:t>S</w:t>
      </w:r>
      <w:r w:rsidRPr="00277BEC">
        <w:rPr>
          <w:rFonts w:ascii="Arial" w:hAnsi="Arial" w:cs="Arial"/>
        </w:rPr>
        <w:t xml:space="preserve">tep 5 on the numeracy scale, which we take to be well-aligned with ALL Level 3, is associated with relatively high probabilities of attaining the numeracy requirement for NCEA. For example, students at </w:t>
      </w:r>
      <w:r w:rsidR="00F53AC3">
        <w:rPr>
          <w:rFonts w:ascii="Arial" w:hAnsi="Arial" w:cs="Arial"/>
        </w:rPr>
        <w:t>S</w:t>
      </w:r>
      <w:r w:rsidRPr="00277BEC">
        <w:rPr>
          <w:rFonts w:ascii="Arial" w:hAnsi="Arial" w:cs="Arial"/>
        </w:rPr>
        <w:t>tep 3 have more than a 50</w:t>
      </w:r>
      <w:r w:rsidR="00F53AC3">
        <w:rPr>
          <w:rFonts w:ascii="Arial" w:hAnsi="Arial" w:cs="Arial"/>
        </w:rPr>
        <w:t xml:space="preserve"> percent</w:t>
      </w:r>
      <w:r w:rsidRPr="00277BEC">
        <w:rPr>
          <w:rFonts w:ascii="Arial" w:hAnsi="Arial" w:cs="Arial"/>
        </w:rPr>
        <w:t xml:space="preserve"> probability of meeting the requirement. Students in </w:t>
      </w:r>
      <w:r w:rsidR="00F53AC3">
        <w:rPr>
          <w:rFonts w:ascii="Arial" w:hAnsi="Arial" w:cs="Arial"/>
        </w:rPr>
        <w:t>S</w:t>
      </w:r>
      <w:r w:rsidRPr="00277BEC">
        <w:rPr>
          <w:rFonts w:ascii="Arial" w:hAnsi="Arial" w:cs="Arial"/>
        </w:rPr>
        <w:t>tep 3 are able to solve simple one-step problems involving addition and subtraction and know their multiplication facts.</w:t>
      </w:r>
    </w:p>
    <w:p w14:paraId="2BFF5FCA" w14:textId="0D0A7A3D" w:rsidR="00E14253" w:rsidRPr="00277BEC" w:rsidRDefault="00250BCB" w:rsidP="00F53AC3">
      <w:pPr>
        <w:pStyle w:val="BodyText"/>
        <w:jc w:val="left"/>
        <w:rPr>
          <w:rFonts w:ascii="Arial" w:hAnsi="Arial" w:cs="Arial"/>
        </w:rPr>
      </w:pPr>
      <w:r w:rsidRPr="00277BEC">
        <w:rPr>
          <w:rFonts w:ascii="Arial" w:hAnsi="Arial" w:cs="Arial"/>
        </w:rPr>
        <w:t>Table 7 shows the empirical proportions of students at each step on the numeracy progressions attaining the numeracy requirement in the same sample that was used to conduct the logistic regression analysis. It also shows the percentage probability under the regression model, of attaining the numeracy requirement associated with performance at the minimum scale score for each step and at the mean scale score for each step. These probabilities can be taken as the percentage of students at these scale scores predicted by the model to attain the numeracy requirement. The predicted percentages at the mean scale score for each step align quite well with the empirical percentages, suggesting that the logistic model provides a reasonable fit to the data.</w:t>
      </w:r>
    </w:p>
    <w:p w14:paraId="66002D75" w14:textId="77777777" w:rsidR="00E14253" w:rsidRPr="00277BEC" w:rsidRDefault="00E14253">
      <w:pPr>
        <w:spacing w:after="0" w:line="240" w:lineRule="auto"/>
        <w:jc w:val="left"/>
        <w:rPr>
          <w:rFonts w:ascii="Arial" w:eastAsia="Times" w:hAnsi="Arial" w:cs="Arial"/>
          <w:szCs w:val="20"/>
        </w:rPr>
      </w:pPr>
      <w:r w:rsidRPr="00277BEC">
        <w:rPr>
          <w:rFonts w:ascii="Arial" w:hAnsi="Arial" w:cs="Arial"/>
        </w:rPr>
        <w:br w:type="page"/>
      </w:r>
    </w:p>
    <w:p w14:paraId="51B427C8" w14:textId="77777777" w:rsidR="00250BCB" w:rsidRPr="00277BEC" w:rsidRDefault="00250BCB" w:rsidP="004B4F59">
      <w:pPr>
        <w:pStyle w:val="Caption"/>
        <w:jc w:val="left"/>
        <w:rPr>
          <w:rFonts w:cs="Arial"/>
        </w:rPr>
      </w:pPr>
      <w:r w:rsidRPr="00277BEC">
        <w:rPr>
          <w:rFonts w:cs="Arial"/>
          <w:b/>
        </w:rPr>
        <w:lastRenderedPageBreak/>
        <w:t xml:space="preserve">Table </w:t>
      </w:r>
      <w:r w:rsidRPr="00277BEC">
        <w:rPr>
          <w:rFonts w:cs="Arial"/>
          <w:b/>
        </w:rPr>
        <w:fldChar w:fldCharType="begin"/>
      </w:r>
      <w:r w:rsidRPr="00277BEC">
        <w:rPr>
          <w:rFonts w:cs="Arial"/>
          <w:b/>
        </w:rPr>
        <w:instrText xml:space="preserve"> SEQ Table \* ARABIC </w:instrText>
      </w:r>
      <w:r w:rsidRPr="00277BEC">
        <w:rPr>
          <w:rFonts w:cs="Arial"/>
          <w:b/>
        </w:rPr>
        <w:fldChar w:fldCharType="separate"/>
      </w:r>
      <w:r w:rsidR="00277BEC" w:rsidRPr="00277BEC">
        <w:rPr>
          <w:rFonts w:cs="Arial"/>
          <w:b/>
          <w:noProof/>
        </w:rPr>
        <w:t>7</w:t>
      </w:r>
      <w:r w:rsidRPr="00277BEC">
        <w:rPr>
          <w:rFonts w:cs="Arial"/>
          <w:b/>
        </w:rPr>
        <w:fldChar w:fldCharType="end"/>
      </w:r>
      <w:r w:rsidRPr="00277BEC">
        <w:rPr>
          <w:rFonts w:cs="Arial"/>
          <w:b/>
        </w:rPr>
        <w:t xml:space="preserve"> </w:t>
      </w:r>
      <w:r w:rsidRPr="00277BEC">
        <w:rPr>
          <w:rFonts w:cs="Arial"/>
        </w:rPr>
        <w:t xml:space="preserve">Percentages of students in the tertiary cohort at each step of the numeracy scale attaining the numeracy requirement for NCEA. </w:t>
      </w:r>
    </w:p>
    <w:tbl>
      <w:tblPr>
        <w:tblW w:w="8505"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74"/>
        <w:gridCol w:w="2704"/>
        <w:gridCol w:w="40"/>
        <w:gridCol w:w="1941"/>
        <w:gridCol w:w="2246"/>
      </w:tblGrid>
      <w:tr w:rsidR="00250BCB" w:rsidRPr="00277BEC" w14:paraId="425174CF" w14:textId="77777777" w:rsidTr="00250BCB">
        <w:trPr>
          <w:trHeight w:val="570"/>
          <w:tblCellSpacing w:w="20" w:type="dxa"/>
        </w:trPr>
        <w:tc>
          <w:tcPr>
            <w:tcW w:w="0" w:type="auto"/>
            <w:shd w:val="clear" w:color="auto" w:fill="auto"/>
            <w:vAlign w:val="bottom"/>
            <w:hideMark/>
          </w:tcPr>
          <w:p w14:paraId="0766FE66" w14:textId="77777777" w:rsidR="00250BCB" w:rsidRPr="00277BEC" w:rsidRDefault="00250BCB" w:rsidP="00250BCB">
            <w:pPr>
              <w:pStyle w:val="Tabletext"/>
              <w:jc w:val="left"/>
              <w:rPr>
                <w:lang w:eastAsia="en-NZ"/>
              </w:rPr>
            </w:pPr>
            <w:r w:rsidRPr="00277BEC">
              <w:rPr>
                <w:lang w:eastAsia="en-NZ"/>
              </w:rPr>
              <w:t>Numeracy Step</w:t>
            </w:r>
          </w:p>
        </w:tc>
        <w:tc>
          <w:tcPr>
            <w:tcW w:w="0" w:type="auto"/>
            <w:gridSpan w:val="2"/>
            <w:shd w:val="clear" w:color="auto" w:fill="auto"/>
            <w:noWrap/>
            <w:vAlign w:val="bottom"/>
            <w:hideMark/>
          </w:tcPr>
          <w:p w14:paraId="153A4142" w14:textId="77777777" w:rsidR="00250BCB" w:rsidRPr="00277BEC" w:rsidRDefault="00250BCB" w:rsidP="00250BCB">
            <w:pPr>
              <w:pStyle w:val="Tabletext"/>
              <w:jc w:val="left"/>
              <w:rPr>
                <w:lang w:eastAsia="en-NZ"/>
              </w:rPr>
            </w:pPr>
            <w:r w:rsidRPr="00277BEC">
              <w:rPr>
                <w:caps/>
                <w:lang w:eastAsia="en-NZ"/>
              </w:rPr>
              <w:t>a</w:t>
            </w:r>
            <w:r w:rsidRPr="00277BEC">
              <w:rPr>
                <w:lang w:eastAsia="en-NZ"/>
              </w:rPr>
              <w:t>ttained NCEA Numeracy (%)</w:t>
            </w:r>
          </w:p>
        </w:tc>
        <w:tc>
          <w:tcPr>
            <w:tcW w:w="0" w:type="auto"/>
            <w:shd w:val="clear" w:color="auto" w:fill="auto"/>
            <w:vAlign w:val="bottom"/>
            <w:hideMark/>
          </w:tcPr>
          <w:p w14:paraId="76E64F46" w14:textId="77777777" w:rsidR="00250BCB" w:rsidRPr="00277BEC" w:rsidRDefault="00250BCB" w:rsidP="00250BCB">
            <w:pPr>
              <w:pStyle w:val="Tabletext"/>
              <w:jc w:val="left"/>
              <w:rPr>
                <w:lang w:eastAsia="en-NZ"/>
              </w:rPr>
            </w:pPr>
            <w:r w:rsidRPr="00277BEC">
              <w:rPr>
                <w:lang w:eastAsia="en-NZ"/>
              </w:rPr>
              <w:t>%Probability (mean)</w:t>
            </w:r>
          </w:p>
        </w:tc>
        <w:tc>
          <w:tcPr>
            <w:tcW w:w="0" w:type="auto"/>
            <w:shd w:val="clear" w:color="auto" w:fill="auto"/>
            <w:vAlign w:val="bottom"/>
            <w:hideMark/>
          </w:tcPr>
          <w:p w14:paraId="7C7C2983" w14:textId="77777777" w:rsidR="00250BCB" w:rsidRPr="00277BEC" w:rsidRDefault="00250BCB" w:rsidP="00250BCB">
            <w:pPr>
              <w:pStyle w:val="Tabletext"/>
              <w:jc w:val="left"/>
              <w:rPr>
                <w:lang w:eastAsia="en-NZ"/>
              </w:rPr>
            </w:pPr>
            <w:r w:rsidRPr="00277BEC">
              <w:rPr>
                <w:lang w:eastAsia="en-NZ"/>
              </w:rPr>
              <w:t>%Probability (minimum)</w:t>
            </w:r>
          </w:p>
        </w:tc>
      </w:tr>
      <w:tr w:rsidR="00250BCB" w:rsidRPr="00277BEC" w14:paraId="718EF0C2" w14:textId="77777777" w:rsidTr="00250BCB">
        <w:trPr>
          <w:trHeight w:val="300"/>
          <w:tblCellSpacing w:w="20" w:type="dxa"/>
        </w:trPr>
        <w:tc>
          <w:tcPr>
            <w:tcW w:w="0" w:type="auto"/>
            <w:shd w:val="clear" w:color="auto" w:fill="auto"/>
            <w:noWrap/>
            <w:vAlign w:val="bottom"/>
            <w:hideMark/>
          </w:tcPr>
          <w:p w14:paraId="49FB0A88" w14:textId="77777777" w:rsidR="00250BCB" w:rsidRPr="00277BEC" w:rsidRDefault="00250BCB" w:rsidP="00250BCB">
            <w:pPr>
              <w:pStyle w:val="Tabletext"/>
              <w:rPr>
                <w:lang w:eastAsia="en-NZ"/>
              </w:rPr>
            </w:pPr>
            <w:r w:rsidRPr="00277BEC">
              <w:rPr>
                <w:lang w:eastAsia="en-NZ"/>
              </w:rPr>
              <w:t>1</w:t>
            </w:r>
          </w:p>
        </w:tc>
        <w:tc>
          <w:tcPr>
            <w:tcW w:w="0" w:type="auto"/>
            <w:shd w:val="clear" w:color="auto" w:fill="auto"/>
            <w:noWrap/>
            <w:vAlign w:val="bottom"/>
            <w:hideMark/>
          </w:tcPr>
          <w:p w14:paraId="3ECFDB5F" w14:textId="77777777" w:rsidR="00250BCB" w:rsidRPr="00277BEC" w:rsidRDefault="00250BCB" w:rsidP="00250BCB">
            <w:pPr>
              <w:pStyle w:val="Tabletext"/>
              <w:rPr>
                <w:lang w:eastAsia="en-NZ"/>
              </w:rPr>
            </w:pPr>
            <w:r w:rsidRPr="00277BEC">
              <w:rPr>
                <w:lang w:eastAsia="en-NZ"/>
              </w:rPr>
              <w:t>37.0</w:t>
            </w:r>
          </w:p>
        </w:tc>
        <w:tc>
          <w:tcPr>
            <w:tcW w:w="0" w:type="auto"/>
            <w:gridSpan w:val="2"/>
            <w:shd w:val="clear" w:color="auto" w:fill="auto"/>
            <w:noWrap/>
            <w:vAlign w:val="bottom"/>
            <w:hideMark/>
          </w:tcPr>
          <w:p w14:paraId="471FAECB" w14:textId="77777777" w:rsidR="00250BCB" w:rsidRPr="00277BEC" w:rsidRDefault="00250BCB" w:rsidP="00250BCB">
            <w:pPr>
              <w:pStyle w:val="Tabletext"/>
              <w:rPr>
                <w:lang w:eastAsia="en-NZ"/>
              </w:rPr>
            </w:pPr>
            <w:r w:rsidRPr="00277BEC">
              <w:rPr>
                <w:lang w:eastAsia="en-NZ"/>
              </w:rPr>
              <w:t>31.5</w:t>
            </w:r>
          </w:p>
        </w:tc>
        <w:tc>
          <w:tcPr>
            <w:tcW w:w="0" w:type="auto"/>
            <w:shd w:val="clear" w:color="auto" w:fill="auto"/>
            <w:noWrap/>
            <w:vAlign w:val="bottom"/>
            <w:hideMark/>
          </w:tcPr>
          <w:p w14:paraId="25816F13" w14:textId="77777777" w:rsidR="00250BCB" w:rsidRPr="00277BEC" w:rsidRDefault="00250BCB" w:rsidP="00250BCB">
            <w:pPr>
              <w:pStyle w:val="Tabletext"/>
              <w:rPr>
                <w:lang w:eastAsia="en-NZ"/>
              </w:rPr>
            </w:pPr>
            <w:r w:rsidRPr="00277BEC">
              <w:rPr>
                <w:lang w:eastAsia="en-NZ"/>
              </w:rPr>
              <w:t>2.8</w:t>
            </w:r>
          </w:p>
        </w:tc>
      </w:tr>
      <w:tr w:rsidR="00250BCB" w:rsidRPr="00277BEC" w14:paraId="02E50040" w14:textId="77777777" w:rsidTr="00250BCB">
        <w:trPr>
          <w:trHeight w:val="300"/>
          <w:tblCellSpacing w:w="20" w:type="dxa"/>
        </w:trPr>
        <w:tc>
          <w:tcPr>
            <w:tcW w:w="0" w:type="auto"/>
            <w:shd w:val="clear" w:color="auto" w:fill="auto"/>
            <w:noWrap/>
            <w:vAlign w:val="bottom"/>
            <w:hideMark/>
          </w:tcPr>
          <w:p w14:paraId="13B73FE9" w14:textId="77777777" w:rsidR="00250BCB" w:rsidRPr="00277BEC" w:rsidRDefault="00250BCB" w:rsidP="00250BCB">
            <w:pPr>
              <w:pStyle w:val="Tabletext"/>
              <w:rPr>
                <w:lang w:eastAsia="en-NZ"/>
              </w:rPr>
            </w:pPr>
            <w:r w:rsidRPr="00277BEC">
              <w:rPr>
                <w:lang w:eastAsia="en-NZ"/>
              </w:rPr>
              <w:t>2</w:t>
            </w:r>
          </w:p>
        </w:tc>
        <w:tc>
          <w:tcPr>
            <w:tcW w:w="0" w:type="auto"/>
            <w:shd w:val="clear" w:color="auto" w:fill="auto"/>
            <w:noWrap/>
            <w:vAlign w:val="bottom"/>
            <w:hideMark/>
          </w:tcPr>
          <w:p w14:paraId="781B83D1" w14:textId="77777777" w:rsidR="00250BCB" w:rsidRPr="00277BEC" w:rsidRDefault="00250BCB" w:rsidP="00250BCB">
            <w:pPr>
              <w:pStyle w:val="Tabletext"/>
              <w:rPr>
                <w:lang w:eastAsia="en-NZ"/>
              </w:rPr>
            </w:pPr>
            <w:r w:rsidRPr="00277BEC">
              <w:rPr>
                <w:lang w:eastAsia="en-NZ"/>
              </w:rPr>
              <w:t>48.7</w:t>
            </w:r>
          </w:p>
        </w:tc>
        <w:tc>
          <w:tcPr>
            <w:tcW w:w="0" w:type="auto"/>
            <w:gridSpan w:val="2"/>
            <w:shd w:val="clear" w:color="auto" w:fill="auto"/>
            <w:noWrap/>
            <w:vAlign w:val="bottom"/>
            <w:hideMark/>
          </w:tcPr>
          <w:p w14:paraId="529CCF47" w14:textId="77777777" w:rsidR="00250BCB" w:rsidRPr="00277BEC" w:rsidRDefault="00250BCB" w:rsidP="00250BCB">
            <w:pPr>
              <w:pStyle w:val="Tabletext"/>
              <w:rPr>
                <w:lang w:eastAsia="en-NZ"/>
              </w:rPr>
            </w:pPr>
            <w:r w:rsidRPr="00277BEC">
              <w:rPr>
                <w:lang w:eastAsia="en-NZ"/>
              </w:rPr>
              <w:t>48.6</w:t>
            </w:r>
          </w:p>
        </w:tc>
        <w:tc>
          <w:tcPr>
            <w:tcW w:w="0" w:type="auto"/>
            <w:shd w:val="clear" w:color="auto" w:fill="auto"/>
            <w:noWrap/>
            <w:vAlign w:val="bottom"/>
            <w:hideMark/>
          </w:tcPr>
          <w:p w14:paraId="64C8B56D" w14:textId="77777777" w:rsidR="00250BCB" w:rsidRPr="00277BEC" w:rsidRDefault="00250BCB" w:rsidP="00250BCB">
            <w:pPr>
              <w:pStyle w:val="Tabletext"/>
              <w:rPr>
                <w:lang w:eastAsia="en-NZ"/>
              </w:rPr>
            </w:pPr>
            <w:r w:rsidRPr="00277BEC">
              <w:rPr>
                <w:lang w:eastAsia="en-NZ"/>
              </w:rPr>
              <w:t>40.7</w:t>
            </w:r>
          </w:p>
        </w:tc>
      </w:tr>
      <w:tr w:rsidR="00250BCB" w:rsidRPr="00277BEC" w14:paraId="72BAEE62" w14:textId="77777777" w:rsidTr="00250BCB">
        <w:trPr>
          <w:trHeight w:val="300"/>
          <w:tblCellSpacing w:w="20" w:type="dxa"/>
        </w:trPr>
        <w:tc>
          <w:tcPr>
            <w:tcW w:w="0" w:type="auto"/>
            <w:shd w:val="clear" w:color="auto" w:fill="auto"/>
            <w:noWrap/>
            <w:vAlign w:val="bottom"/>
            <w:hideMark/>
          </w:tcPr>
          <w:p w14:paraId="26474F13" w14:textId="77777777" w:rsidR="00250BCB" w:rsidRPr="00277BEC" w:rsidRDefault="00250BCB" w:rsidP="00250BCB">
            <w:pPr>
              <w:pStyle w:val="Tabletext"/>
              <w:rPr>
                <w:lang w:eastAsia="en-NZ"/>
              </w:rPr>
            </w:pPr>
            <w:r w:rsidRPr="00277BEC">
              <w:rPr>
                <w:lang w:eastAsia="en-NZ"/>
              </w:rPr>
              <w:t>3</w:t>
            </w:r>
          </w:p>
        </w:tc>
        <w:tc>
          <w:tcPr>
            <w:tcW w:w="0" w:type="auto"/>
            <w:shd w:val="clear" w:color="auto" w:fill="auto"/>
            <w:noWrap/>
            <w:vAlign w:val="bottom"/>
            <w:hideMark/>
          </w:tcPr>
          <w:p w14:paraId="18B14BBF" w14:textId="77777777" w:rsidR="00250BCB" w:rsidRPr="00277BEC" w:rsidRDefault="00250BCB" w:rsidP="00250BCB">
            <w:pPr>
              <w:pStyle w:val="Tabletext"/>
              <w:rPr>
                <w:lang w:eastAsia="en-NZ"/>
              </w:rPr>
            </w:pPr>
            <w:r w:rsidRPr="00277BEC">
              <w:rPr>
                <w:lang w:eastAsia="en-NZ"/>
              </w:rPr>
              <w:t>63.0</w:t>
            </w:r>
          </w:p>
        </w:tc>
        <w:tc>
          <w:tcPr>
            <w:tcW w:w="0" w:type="auto"/>
            <w:gridSpan w:val="2"/>
            <w:shd w:val="clear" w:color="auto" w:fill="auto"/>
            <w:noWrap/>
            <w:vAlign w:val="bottom"/>
            <w:hideMark/>
          </w:tcPr>
          <w:p w14:paraId="64B39F93" w14:textId="77777777" w:rsidR="00250BCB" w:rsidRPr="00277BEC" w:rsidRDefault="00250BCB" w:rsidP="00250BCB">
            <w:pPr>
              <w:pStyle w:val="Tabletext"/>
              <w:rPr>
                <w:lang w:eastAsia="en-NZ"/>
              </w:rPr>
            </w:pPr>
            <w:r w:rsidRPr="00277BEC">
              <w:rPr>
                <w:lang w:eastAsia="en-NZ"/>
              </w:rPr>
              <w:t>61.0</w:t>
            </w:r>
          </w:p>
        </w:tc>
        <w:tc>
          <w:tcPr>
            <w:tcW w:w="0" w:type="auto"/>
            <w:shd w:val="clear" w:color="auto" w:fill="auto"/>
            <w:noWrap/>
            <w:vAlign w:val="bottom"/>
            <w:hideMark/>
          </w:tcPr>
          <w:p w14:paraId="59FDA54A" w14:textId="77777777" w:rsidR="00250BCB" w:rsidRPr="00277BEC" w:rsidRDefault="00250BCB" w:rsidP="00250BCB">
            <w:pPr>
              <w:pStyle w:val="Tabletext"/>
              <w:rPr>
                <w:lang w:eastAsia="en-NZ"/>
              </w:rPr>
            </w:pPr>
            <w:r w:rsidRPr="00277BEC">
              <w:rPr>
                <w:lang w:eastAsia="en-NZ"/>
              </w:rPr>
              <w:t>54.1</w:t>
            </w:r>
          </w:p>
        </w:tc>
      </w:tr>
      <w:tr w:rsidR="00250BCB" w:rsidRPr="00277BEC" w14:paraId="05AF44BF" w14:textId="77777777" w:rsidTr="00250BCB">
        <w:trPr>
          <w:trHeight w:val="300"/>
          <w:tblCellSpacing w:w="20" w:type="dxa"/>
        </w:trPr>
        <w:tc>
          <w:tcPr>
            <w:tcW w:w="0" w:type="auto"/>
            <w:shd w:val="clear" w:color="auto" w:fill="auto"/>
            <w:noWrap/>
            <w:vAlign w:val="bottom"/>
            <w:hideMark/>
          </w:tcPr>
          <w:p w14:paraId="08581207" w14:textId="77777777" w:rsidR="00250BCB" w:rsidRPr="00277BEC" w:rsidRDefault="00250BCB" w:rsidP="00250BCB">
            <w:pPr>
              <w:pStyle w:val="Tabletext"/>
              <w:rPr>
                <w:lang w:eastAsia="en-NZ"/>
              </w:rPr>
            </w:pPr>
            <w:r w:rsidRPr="00277BEC">
              <w:rPr>
                <w:lang w:eastAsia="en-NZ"/>
              </w:rPr>
              <w:t>4</w:t>
            </w:r>
          </w:p>
        </w:tc>
        <w:tc>
          <w:tcPr>
            <w:tcW w:w="0" w:type="auto"/>
            <w:shd w:val="clear" w:color="auto" w:fill="auto"/>
            <w:noWrap/>
            <w:vAlign w:val="bottom"/>
            <w:hideMark/>
          </w:tcPr>
          <w:p w14:paraId="35B843BA" w14:textId="77777777" w:rsidR="00250BCB" w:rsidRPr="00277BEC" w:rsidRDefault="00250BCB" w:rsidP="00250BCB">
            <w:pPr>
              <w:pStyle w:val="Tabletext"/>
              <w:rPr>
                <w:lang w:eastAsia="en-NZ"/>
              </w:rPr>
            </w:pPr>
            <w:r w:rsidRPr="00277BEC">
              <w:rPr>
                <w:lang w:eastAsia="en-NZ"/>
              </w:rPr>
              <w:t>76.5</w:t>
            </w:r>
          </w:p>
        </w:tc>
        <w:tc>
          <w:tcPr>
            <w:tcW w:w="0" w:type="auto"/>
            <w:gridSpan w:val="2"/>
            <w:shd w:val="clear" w:color="auto" w:fill="auto"/>
            <w:noWrap/>
            <w:vAlign w:val="bottom"/>
            <w:hideMark/>
          </w:tcPr>
          <w:p w14:paraId="790AFE59" w14:textId="77777777" w:rsidR="00250BCB" w:rsidRPr="00277BEC" w:rsidRDefault="00250BCB" w:rsidP="00250BCB">
            <w:pPr>
              <w:pStyle w:val="Tabletext"/>
              <w:rPr>
                <w:lang w:eastAsia="en-NZ"/>
              </w:rPr>
            </w:pPr>
            <w:r w:rsidRPr="00277BEC">
              <w:rPr>
                <w:lang w:eastAsia="en-NZ"/>
              </w:rPr>
              <w:t>72.8</w:t>
            </w:r>
          </w:p>
        </w:tc>
        <w:tc>
          <w:tcPr>
            <w:tcW w:w="0" w:type="auto"/>
            <w:shd w:val="clear" w:color="auto" w:fill="auto"/>
            <w:noWrap/>
            <w:vAlign w:val="bottom"/>
            <w:hideMark/>
          </w:tcPr>
          <w:p w14:paraId="35CC9CFC" w14:textId="77777777" w:rsidR="00250BCB" w:rsidRPr="00277BEC" w:rsidRDefault="00250BCB" w:rsidP="00250BCB">
            <w:pPr>
              <w:pStyle w:val="Tabletext"/>
              <w:rPr>
                <w:lang w:eastAsia="en-NZ"/>
              </w:rPr>
            </w:pPr>
            <w:r w:rsidRPr="00277BEC">
              <w:rPr>
                <w:lang w:eastAsia="en-NZ"/>
              </w:rPr>
              <w:t>66.3</w:t>
            </w:r>
          </w:p>
        </w:tc>
      </w:tr>
      <w:tr w:rsidR="00250BCB" w:rsidRPr="00277BEC" w14:paraId="560D6575" w14:textId="77777777" w:rsidTr="00250BCB">
        <w:trPr>
          <w:trHeight w:val="300"/>
          <w:tblCellSpacing w:w="20" w:type="dxa"/>
        </w:trPr>
        <w:tc>
          <w:tcPr>
            <w:tcW w:w="0" w:type="auto"/>
            <w:shd w:val="clear" w:color="auto" w:fill="auto"/>
            <w:noWrap/>
            <w:vAlign w:val="bottom"/>
            <w:hideMark/>
          </w:tcPr>
          <w:p w14:paraId="2FECF4A8" w14:textId="77777777" w:rsidR="00250BCB" w:rsidRPr="00277BEC" w:rsidRDefault="00250BCB" w:rsidP="00250BCB">
            <w:pPr>
              <w:pStyle w:val="Tabletext"/>
              <w:rPr>
                <w:lang w:eastAsia="en-NZ"/>
              </w:rPr>
            </w:pPr>
            <w:r w:rsidRPr="00277BEC">
              <w:rPr>
                <w:lang w:eastAsia="en-NZ"/>
              </w:rPr>
              <w:t>5</w:t>
            </w:r>
          </w:p>
        </w:tc>
        <w:tc>
          <w:tcPr>
            <w:tcW w:w="0" w:type="auto"/>
            <w:shd w:val="clear" w:color="auto" w:fill="auto"/>
            <w:noWrap/>
            <w:vAlign w:val="bottom"/>
            <w:hideMark/>
          </w:tcPr>
          <w:p w14:paraId="30729D62" w14:textId="77777777" w:rsidR="00250BCB" w:rsidRPr="00277BEC" w:rsidRDefault="00250BCB" w:rsidP="00250BCB">
            <w:pPr>
              <w:pStyle w:val="Tabletext"/>
              <w:rPr>
                <w:lang w:eastAsia="en-NZ"/>
              </w:rPr>
            </w:pPr>
            <w:r w:rsidRPr="00277BEC">
              <w:rPr>
                <w:lang w:eastAsia="en-NZ"/>
              </w:rPr>
              <w:t>87.3</w:t>
            </w:r>
          </w:p>
        </w:tc>
        <w:tc>
          <w:tcPr>
            <w:tcW w:w="0" w:type="auto"/>
            <w:gridSpan w:val="2"/>
            <w:shd w:val="clear" w:color="auto" w:fill="auto"/>
            <w:noWrap/>
            <w:vAlign w:val="bottom"/>
            <w:hideMark/>
          </w:tcPr>
          <w:p w14:paraId="380C95F7" w14:textId="77777777" w:rsidR="00250BCB" w:rsidRPr="00277BEC" w:rsidRDefault="00250BCB" w:rsidP="00250BCB">
            <w:pPr>
              <w:pStyle w:val="Tabletext"/>
              <w:rPr>
                <w:lang w:eastAsia="en-NZ"/>
              </w:rPr>
            </w:pPr>
            <w:r w:rsidRPr="00277BEC">
              <w:rPr>
                <w:lang w:eastAsia="en-NZ"/>
              </w:rPr>
              <w:t>83.1</w:t>
            </w:r>
          </w:p>
        </w:tc>
        <w:tc>
          <w:tcPr>
            <w:tcW w:w="0" w:type="auto"/>
            <w:shd w:val="clear" w:color="auto" w:fill="auto"/>
            <w:noWrap/>
            <w:vAlign w:val="bottom"/>
            <w:hideMark/>
          </w:tcPr>
          <w:p w14:paraId="55E1E4A5" w14:textId="77777777" w:rsidR="00250BCB" w:rsidRPr="00277BEC" w:rsidRDefault="00250BCB" w:rsidP="00250BCB">
            <w:pPr>
              <w:pStyle w:val="Tabletext"/>
              <w:rPr>
                <w:lang w:eastAsia="en-NZ"/>
              </w:rPr>
            </w:pPr>
            <w:r w:rsidRPr="00277BEC">
              <w:rPr>
                <w:lang w:eastAsia="en-NZ"/>
              </w:rPr>
              <w:t>78.2</w:t>
            </w:r>
          </w:p>
        </w:tc>
      </w:tr>
      <w:tr w:rsidR="00250BCB" w:rsidRPr="00277BEC" w14:paraId="6D89CF0F" w14:textId="77777777" w:rsidTr="00250BCB">
        <w:trPr>
          <w:trHeight w:val="300"/>
          <w:tblCellSpacing w:w="20" w:type="dxa"/>
        </w:trPr>
        <w:tc>
          <w:tcPr>
            <w:tcW w:w="0" w:type="auto"/>
            <w:shd w:val="clear" w:color="auto" w:fill="auto"/>
            <w:noWrap/>
            <w:vAlign w:val="bottom"/>
            <w:hideMark/>
          </w:tcPr>
          <w:p w14:paraId="5AFA1956" w14:textId="77777777" w:rsidR="00250BCB" w:rsidRPr="00277BEC" w:rsidRDefault="00250BCB" w:rsidP="00250BCB">
            <w:pPr>
              <w:pStyle w:val="Tabletext"/>
              <w:rPr>
                <w:lang w:eastAsia="en-NZ"/>
              </w:rPr>
            </w:pPr>
            <w:r w:rsidRPr="00277BEC">
              <w:rPr>
                <w:lang w:eastAsia="en-NZ"/>
              </w:rPr>
              <w:t>6</w:t>
            </w:r>
          </w:p>
        </w:tc>
        <w:tc>
          <w:tcPr>
            <w:tcW w:w="0" w:type="auto"/>
            <w:shd w:val="clear" w:color="auto" w:fill="auto"/>
            <w:noWrap/>
            <w:vAlign w:val="bottom"/>
            <w:hideMark/>
          </w:tcPr>
          <w:p w14:paraId="47AADE4B" w14:textId="77777777" w:rsidR="00250BCB" w:rsidRPr="00277BEC" w:rsidRDefault="00250BCB" w:rsidP="00250BCB">
            <w:pPr>
              <w:pStyle w:val="Tabletext"/>
              <w:rPr>
                <w:lang w:eastAsia="en-NZ"/>
              </w:rPr>
            </w:pPr>
            <w:r w:rsidRPr="00277BEC">
              <w:rPr>
                <w:lang w:eastAsia="en-NZ"/>
              </w:rPr>
              <w:t>91.4</w:t>
            </w:r>
          </w:p>
        </w:tc>
        <w:tc>
          <w:tcPr>
            <w:tcW w:w="0" w:type="auto"/>
            <w:gridSpan w:val="2"/>
            <w:shd w:val="clear" w:color="auto" w:fill="auto"/>
            <w:noWrap/>
            <w:vAlign w:val="bottom"/>
            <w:hideMark/>
          </w:tcPr>
          <w:p w14:paraId="011ECC3A" w14:textId="77777777" w:rsidR="00250BCB" w:rsidRPr="00277BEC" w:rsidRDefault="00250BCB" w:rsidP="00250BCB">
            <w:pPr>
              <w:pStyle w:val="Tabletext"/>
              <w:rPr>
                <w:lang w:eastAsia="en-NZ"/>
              </w:rPr>
            </w:pPr>
            <w:r w:rsidRPr="00277BEC">
              <w:rPr>
                <w:lang w:eastAsia="en-NZ"/>
              </w:rPr>
              <w:t>91.9</w:t>
            </w:r>
          </w:p>
        </w:tc>
        <w:tc>
          <w:tcPr>
            <w:tcW w:w="0" w:type="auto"/>
            <w:shd w:val="clear" w:color="auto" w:fill="auto"/>
            <w:noWrap/>
            <w:vAlign w:val="bottom"/>
            <w:hideMark/>
          </w:tcPr>
          <w:p w14:paraId="158D6C8B" w14:textId="77777777" w:rsidR="00250BCB" w:rsidRPr="00277BEC" w:rsidRDefault="00250BCB" w:rsidP="00250BCB">
            <w:pPr>
              <w:pStyle w:val="Tabletext"/>
              <w:rPr>
                <w:lang w:eastAsia="en-NZ"/>
              </w:rPr>
            </w:pPr>
            <w:r w:rsidRPr="00277BEC">
              <w:rPr>
                <w:lang w:eastAsia="en-NZ"/>
              </w:rPr>
              <w:t>87.7</w:t>
            </w:r>
          </w:p>
        </w:tc>
      </w:tr>
      <w:tr w:rsidR="00250BCB" w:rsidRPr="00277BEC" w14:paraId="744537EB" w14:textId="77777777" w:rsidTr="00250BCB">
        <w:trPr>
          <w:trHeight w:val="300"/>
          <w:tblCellSpacing w:w="20" w:type="dxa"/>
        </w:trPr>
        <w:tc>
          <w:tcPr>
            <w:tcW w:w="0" w:type="auto"/>
            <w:shd w:val="clear" w:color="auto" w:fill="auto"/>
            <w:noWrap/>
            <w:vAlign w:val="bottom"/>
            <w:hideMark/>
          </w:tcPr>
          <w:p w14:paraId="5AD9717D" w14:textId="77777777" w:rsidR="00250BCB" w:rsidRPr="00277BEC" w:rsidRDefault="00250BCB" w:rsidP="00250BCB">
            <w:pPr>
              <w:pStyle w:val="Tabletext"/>
              <w:rPr>
                <w:b/>
                <w:i/>
                <w:iCs/>
                <w:lang w:eastAsia="en-NZ"/>
              </w:rPr>
            </w:pPr>
            <w:r w:rsidRPr="00277BEC">
              <w:rPr>
                <w:b/>
                <w:i/>
                <w:iCs/>
                <w:lang w:eastAsia="en-NZ"/>
              </w:rPr>
              <w:t>n</w:t>
            </w:r>
          </w:p>
        </w:tc>
        <w:tc>
          <w:tcPr>
            <w:tcW w:w="0" w:type="auto"/>
            <w:shd w:val="clear" w:color="auto" w:fill="auto"/>
            <w:noWrap/>
            <w:vAlign w:val="bottom"/>
            <w:hideMark/>
          </w:tcPr>
          <w:p w14:paraId="62E3B461" w14:textId="77777777" w:rsidR="00250BCB" w:rsidRPr="00277BEC" w:rsidRDefault="00250BCB" w:rsidP="00250BCB">
            <w:pPr>
              <w:pStyle w:val="Tabletext"/>
              <w:rPr>
                <w:lang w:eastAsia="en-NZ"/>
              </w:rPr>
            </w:pPr>
            <w:r w:rsidRPr="00277BEC">
              <w:rPr>
                <w:lang w:eastAsia="en-NZ"/>
              </w:rPr>
              <w:t>23,207</w:t>
            </w:r>
          </w:p>
        </w:tc>
        <w:tc>
          <w:tcPr>
            <w:tcW w:w="0" w:type="auto"/>
            <w:gridSpan w:val="2"/>
            <w:shd w:val="clear" w:color="auto" w:fill="auto"/>
            <w:noWrap/>
            <w:vAlign w:val="bottom"/>
            <w:hideMark/>
          </w:tcPr>
          <w:p w14:paraId="548BE3A0" w14:textId="77777777" w:rsidR="00250BCB" w:rsidRPr="00277BEC" w:rsidRDefault="00250BCB" w:rsidP="00250BCB">
            <w:pPr>
              <w:pStyle w:val="Tabletext"/>
              <w:rPr>
                <w:lang w:eastAsia="en-NZ"/>
              </w:rPr>
            </w:pPr>
          </w:p>
        </w:tc>
        <w:tc>
          <w:tcPr>
            <w:tcW w:w="0" w:type="auto"/>
            <w:shd w:val="clear" w:color="auto" w:fill="auto"/>
            <w:noWrap/>
            <w:vAlign w:val="bottom"/>
            <w:hideMark/>
          </w:tcPr>
          <w:p w14:paraId="15A84AAB" w14:textId="77777777" w:rsidR="00250BCB" w:rsidRPr="00277BEC" w:rsidRDefault="00250BCB" w:rsidP="00250BCB">
            <w:pPr>
              <w:pStyle w:val="Tabletext"/>
              <w:rPr>
                <w:lang w:eastAsia="en-NZ"/>
              </w:rPr>
            </w:pPr>
          </w:p>
        </w:tc>
      </w:tr>
    </w:tbl>
    <w:p w14:paraId="1E7F1C3F" w14:textId="77777777" w:rsidR="00250BCB" w:rsidRPr="00277BEC" w:rsidRDefault="00250BCB" w:rsidP="00F53AC3">
      <w:pPr>
        <w:pStyle w:val="BodyText"/>
        <w:spacing w:after="0" w:line="276" w:lineRule="auto"/>
        <w:jc w:val="left"/>
        <w:rPr>
          <w:rFonts w:ascii="Arial" w:eastAsiaTheme="minorEastAsia" w:hAnsi="Arial" w:cs="Arial"/>
          <w:bCs w:val="0"/>
          <w:color w:val="000000" w:themeColor="text1"/>
          <w:sz w:val="18"/>
          <w:szCs w:val="18"/>
        </w:rPr>
      </w:pPr>
      <w:r w:rsidRPr="00277BEC">
        <w:rPr>
          <w:rFonts w:ascii="Arial" w:eastAsiaTheme="minorEastAsia" w:hAnsi="Arial" w:cs="Arial"/>
          <w:bCs w:val="0"/>
          <w:color w:val="000000" w:themeColor="text1"/>
          <w:sz w:val="18"/>
          <w:szCs w:val="18"/>
        </w:rPr>
        <w:t>Note: Probability values are from a logistic regression model based on the mean scale location for students at each step, and the minimum scale score for each step.</w:t>
      </w:r>
    </w:p>
    <w:p w14:paraId="0D6B69B1" w14:textId="77777777" w:rsidR="00250BCB" w:rsidRPr="00277BEC" w:rsidRDefault="00250BCB" w:rsidP="00250BCB">
      <w:pPr>
        <w:pStyle w:val="BodyText"/>
        <w:spacing w:after="0" w:line="276" w:lineRule="auto"/>
        <w:rPr>
          <w:rFonts w:ascii="Arial" w:hAnsi="Arial" w:cs="Arial"/>
        </w:rPr>
      </w:pPr>
    </w:p>
    <w:p w14:paraId="6CC265BE" w14:textId="6EB40F56" w:rsidR="00250BCB" w:rsidRPr="00277BEC" w:rsidRDefault="00250BCB" w:rsidP="00F53AC3">
      <w:pPr>
        <w:pStyle w:val="BodyText"/>
        <w:jc w:val="left"/>
        <w:rPr>
          <w:rFonts w:ascii="Arial" w:hAnsi="Arial" w:cs="Arial"/>
        </w:rPr>
      </w:pPr>
      <w:r w:rsidRPr="00277BEC">
        <w:rPr>
          <w:rFonts w:ascii="Arial" w:hAnsi="Arial" w:cs="Arial"/>
        </w:rPr>
        <w:t xml:space="preserve">Figure 5 shows a logistic regression function complementing that in Figure 4, depicting the probability of attaining the literacy requirement for NCEA, again by any means, conditioned on performance on the reading scale. The discrimination of this curve is similarly poor, and the probabilities of attaining the literacy requirement for students at the bottom of </w:t>
      </w:r>
      <w:r w:rsidR="00F53AC3">
        <w:rPr>
          <w:rFonts w:ascii="Arial" w:hAnsi="Arial" w:cs="Arial"/>
        </w:rPr>
        <w:t>S</w:t>
      </w:r>
      <w:r w:rsidRPr="00277BEC">
        <w:rPr>
          <w:rFonts w:ascii="Arial" w:hAnsi="Arial" w:cs="Arial"/>
        </w:rPr>
        <w:t>teps 2 and 6 are almost identical to those of attaining the numeracy requirement for students at the bottom of these steps on the numeracy scale; approximately 40</w:t>
      </w:r>
      <w:r w:rsidR="00F53AC3">
        <w:rPr>
          <w:rFonts w:ascii="Arial" w:hAnsi="Arial" w:cs="Arial"/>
        </w:rPr>
        <w:t xml:space="preserve"> percent</w:t>
      </w:r>
      <w:r w:rsidRPr="00277BEC">
        <w:rPr>
          <w:rFonts w:ascii="Arial" w:hAnsi="Arial" w:cs="Arial"/>
        </w:rPr>
        <w:t xml:space="preserve"> and 90</w:t>
      </w:r>
      <w:r w:rsidR="00F53AC3">
        <w:rPr>
          <w:rFonts w:ascii="Arial" w:hAnsi="Arial" w:cs="Arial"/>
        </w:rPr>
        <w:t xml:space="preserve"> percent</w:t>
      </w:r>
      <w:r w:rsidRPr="00277BEC">
        <w:rPr>
          <w:rFonts w:ascii="Arial" w:hAnsi="Arial" w:cs="Arial"/>
        </w:rPr>
        <w:t xml:space="preserve"> respectively. Again, it is much more likely that the poor discrimination is a result of the diffuse nature of the NCEA literacy requirement, than that the Assessment Tool lacks reliability. Furthermore, under this analysis students in the middle of reading </w:t>
      </w:r>
      <w:r w:rsidR="00F53AC3">
        <w:rPr>
          <w:rFonts w:ascii="Arial" w:hAnsi="Arial" w:cs="Arial"/>
        </w:rPr>
        <w:t>S</w:t>
      </w:r>
      <w:r w:rsidRPr="00277BEC">
        <w:rPr>
          <w:rFonts w:ascii="Arial" w:hAnsi="Arial" w:cs="Arial"/>
        </w:rPr>
        <w:t>tep 2 have a 50</w:t>
      </w:r>
      <w:r w:rsidR="00F53AC3">
        <w:rPr>
          <w:rFonts w:ascii="Arial" w:hAnsi="Arial" w:cs="Arial"/>
        </w:rPr>
        <w:t xml:space="preserve"> percent</w:t>
      </w:r>
      <w:r w:rsidRPr="00277BEC">
        <w:rPr>
          <w:rFonts w:ascii="Arial" w:hAnsi="Arial" w:cs="Arial"/>
        </w:rPr>
        <w:t xml:space="preserve"> probability of attaining the literacy requirement. This is well below the literacy benchmark, which is at </w:t>
      </w:r>
      <w:r w:rsidR="00F53AC3">
        <w:rPr>
          <w:rFonts w:ascii="Arial" w:hAnsi="Arial" w:cs="Arial"/>
        </w:rPr>
        <w:t>S</w:t>
      </w:r>
      <w:r w:rsidRPr="00277BEC">
        <w:rPr>
          <w:rFonts w:ascii="Arial" w:hAnsi="Arial" w:cs="Arial"/>
        </w:rPr>
        <w:t xml:space="preserve">tep 4. Students at </w:t>
      </w:r>
      <w:r w:rsidR="00F53AC3">
        <w:rPr>
          <w:rFonts w:ascii="Arial" w:hAnsi="Arial" w:cs="Arial"/>
        </w:rPr>
        <w:t>S</w:t>
      </w:r>
      <w:r w:rsidRPr="00277BEC">
        <w:rPr>
          <w:rFonts w:ascii="Arial" w:hAnsi="Arial" w:cs="Arial"/>
        </w:rPr>
        <w:t xml:space="preserve">tep 2 can find information in short, simple pieces of writing. </w:t>
      </w:r>
    </w:p>
    <w:p w14:paraId="78C61DEF" w14:textId="1E4EC92A" w:rsidR="00250BCB" w:rsidRPr="00277BEC" w:rsidRDefault="00FA6EAA" w:rsidP="00250BCB">
      <w:pPr>
        <w:pStyle w:val="BodyText"/>
        <w:spacing w:after="0" w:line="276" w:lineRule="auto"/>
        <w:rPr>
          <w:rFonts w:ascii="Arial" w:hAnsi="Arial" w:cs="Arial"/>
        </w:rPr>
      </w:pPr>
      <w:r w:rsidRPr="00277BEC">
        <w:rPr>
          <w:rFonts w:ascii="Arial" w:hAnsi="Arial" w:cs="Arial"/>
          <w:noProof/>
          <w:lang w:val="en-NZ" w:eastAsia="en-NZ"/>
        </w:rPr>
        <w:drawing>
          <wp:inline distT="0" distB="0" distL="0" distR="0" wp14:anchorId="67E286E7" wp14:editId="2F51F743">
            <wp:extent cx="4392000" cy="2629036"/>
            <wp:effectExtent l="25400" t="25400" r="2794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new.png"/>
                    <pic:cNvPicPr/>
                  </pic:nvPicPr>
                  <pic:blipFill>
                    <a:blip r:embed="rId15">
                      <a:extLst>
                        <a:ext uri="{28A0092B-C50C-407E-A947-70E740481C1C}">
                          <a14:useLocalDpi xmlns:a14="http://schemas.microsoft.com/office/drawing/2010/main" val="0"/>
                        </a:ext>
                      </a:extLst>
                    </a:blip>
                    <a:stretch>
                      <a:fillRect/>
                    </a:stretch>
                  </pic:blipFill>
                  <pic:spPr>
                    <a:xfrm>
                      <a:off x="0" y="0"/>
                      <a:ext cx="4392000" cy="2629036"/>
                    </a:xfrm>
                    <a:prstGeom prst="rect">
                      <a:avLst/>
                    </a:prstGeom>
                    <a:ln>
                      <a:solidFill>
                        <a:schemeClr val="bg1">
                          <a:lumMod val="50000"/>
                        </a:schemeClr>
                      </a:solidFill>
                    </a:ln>
                  </pic:spPr>
                </pic:pic>
              </a:graphicData>
            </a:graphic>
          </wp:inline>
        </w:drawing>
      </w:r>
    </w:p>
    <w:p w14:paraId="63775A06" w14:textId="5D43B5F9" w:rsidR="00250BCB" w:rsidRPr="00277BEC" w:rsidRDefault="00250BCB" w:rsidP="00F53AC3">
      <w:pPr>
        <w:pStyle w:val="Caption"/>
        <w:jc w:val="left"/>
        <w:rPr>
          <w:rFonts w:cs="Arial"/>
        </w:rPr>
      </w:pPr>
      <w:bookmarkStart w:id="50" w:name="_Toc417920078"/>
      <w:r w:rsidRPr="00277BEC">
        <w:rPr>
          <w:rFonts w:cs="Arial"/>
          <w:b/>
        </w:rPr>
        <w:t xml:space="preserve">Figure </w:t>
      </w:r>
      <w:r w:rsidRPr="00277BEC">
        <w:rPr>
          <w:rFonts w:cs="Arial"/>
          <w:b/>
        </w:rPr>
        <w:fldChar w:fldCharType="begin"/>
      </w:r>
      <w:r w:rsidRPr="00277BEC">
        <w:rPr>
          <w:rFonts w:cs="Arial"/>
          <w:b/>
        </w:rPr>
        <w:instrText xml:space="preserve"> SEQ Figure \* ARABIC </w:instrText>
      </w:r>
      <w:r w:rsidRPr="00277BEC">
        <w:rPr>
          <w:rFonts w:cs="Arial"/>
          <w:b/>
        </w:rPr>
        <w:fldChar w:fldCharType="separate"/>
      </w:r>
      <w:r w:rsidR="00277BEC" w:rsidRPr="00277BEC">
        <w:rPr>
          <w:rFonts w:cs="Arial"/>
          <w:b/>
          <w:noProof/>
        </w:rPr>
        <w:t>5</w:t>
      </w:r>
      <w:r w:rsidRPr="00277BEC">
        <w:rPr>
          <w:rFonts w:cs="Arial"/>
          <w:b/>
        </w:rPr>
        <w:fldChar w:fldCharType="end"/>
      </w:r>
      <w:r w:rsidRPr="00277BEC">
        <w:rPr>
          <w:rFonts w:cs="Arial"/>
        </w:rPr>
        <w:t xml:space="preserve">  Probability of attaining the literacy requirement for NCEA conditioned on the reading scale score. Probabilities were estimated using logistic regression. </w:t>
      </w:r>
      <w:proofErr w:type="gramStart"/>
      <w:r w:rsidRPr="00277BEC">
        <w:rPr>
          <w:rFonts w:cs="Arial"/>
        </w:rPr>
        <w:t>Tertiary cohort.</w:t>
      </w:r>
      <w:bookmarkEnd w:id="50"/>
      <w:proofErr w:type="gramEnd"/>
    </w:p>
    <w:p w14:paraId="74C59049" w14:textId="0CBD3BA0" w:rsidR="00250BCB" w:rsidRPr="00277BEC" w:rsidRDefault="00250BCB" w:rsidP="00F53AC3">
      <w:pPr>
        <w:pStyle w:val="BodyText"/>
        <w:jc w:val="left"/>
        <w:rPr>
          <w:rFonts w:ascii="Arial" w:hAnsi="Arial" w:cs="Arial"/>
        </w:rPr>
      </w:pPr>
      <w:r w:rsidRPr="00277BEC">
        <w:rPr>
          <w:rFonts w:ascii="Arial" w:hAnsi="Arial" w:cs="Arial"/>
        </w:rPr>
        <w:t xml:space="preserve">Table 8 shows the empirical percentage of students in the tertiary cohort at each reading step who attained the literacy requirement for NCEA. The percentages at </w:t>
      </w:r>
      <w:r w:rsidR="00F53AC3">
        <w:rPr>
          <w:rFonts w:ascii="Arial" w:hAnsi="Arial" w:cs="Arial"/>
        </w:rPr>
        <w:lastRenderedPageBreak/>
        <w:t>S</w:t>
      </w:r>
      <w:r w:rsidRPr="00277BEC">
        <w:rPr>
          <w:rFonts w:ascii="Arial" w:hAnsi="Arial" w:cs="Arial"/>
        </w:rPr>
        <w:t xml:space="preserve">teps 1 to 3 are particularly concerning, these steps being below the literacy benchmark, but nonetheless showing reasonable probabilities of attaining the requirement. As was the case for Table 7, the probability values from the logistic regression associated with the mean scale location for each step are quite well aligned with the empirical percentages attaining the literacy requirement, suggesting a good fit of the </w:t>
      </w:r>
      <w:r w:rsidR="00FF2AFD" w:rsidRPr="00277BEC">
        <w:rPr>
          <w:rFonts w:ascii="Arial" w:hAnsi="Arial" w:cs="Arial"/>
        </w:rPr>
        <w:t xml:space="preserve">model </w:t>
      </w:r>
      <w:r w:rsidRPr="00277BEC">
        <w:rPr>
          <w:rFonts w:ascii="Arial" w:hAnsi="Arial" w:cs="Arial"/>
        </w:rPr>
        <w:t xml:space="preserve">to the </w:t>
      </w:r>
      <w:r w:rsidR="00FF2AFD" w:rsidRPr="00277BEC">
        <w:rPr>
          <w:rFonts w:ascii="Arial" w:hAnsi="Arial" w:cs="Arial"/>
        </w:rPr>
        <w:t>data</w:t>
      </w:r>
      <w:r w:rsidRPr="00277BEC">
        <w:rPr>
          <w:rFonts w:ascii="Arial" w:hAnsi="Arial" w:cs="Arial"/>
        </w:rPr>
        <w:t>.</w:t>
      </w:r>
    </w:p>
    <w:p w14:paraId="5A3D473D" w14:textId="77777777" w:rsidR="00250BCB" w:rsidRPr="00277BEC" w:rsidRDefault="00250BCB" w:rsidP="00F53AC3">
      <w:pPr>
        <w:pStyle w:val="Caption"/>
        <w:jc w:val="left"/>
        <w:rPr>
          <w:rFonts w:cs="Arial"/>
          <w:sz w:val="20"/>
        </w:rPr>
      </w:pPr>
      <w:bookmarkStart w:id="51" w:name="_Toc270604925"/>
      <w:r w:rsidRPr="00277BEC">
        <w:rPr>
          <w:rFonts w:cs="Arial"/>
          <w:b/>
        </w:rPr>
        <w:t xml:space="preserve">Table </w:t>
      </w:r>
      <w:r w:rsidRPr="00277BEC">
        <w:rPr>
          <w:rFonts w:cs="Arial"/>
          <w:b/>
        </w:rPr>
        <w:fldChar w:fldCharType="begin"/>
      </w:r>
      <w:r w:rsidRPr="00277BEC">
        <w:rPr>
          <w:rFonts w:cs="Arial"/>
          <w:b/>
        </w:rPr>
        <w:instrText xml:space="preserve"> SEQ Table \* ARABIC </w:instrText>
      </w:r>
      <w:r w:rsidRPr="00277BEC">
        <w:rPr>
          <w:rFonts w:cs="Arial"/>
          <w:b/>
        </w:rPr>
        <w:fldChar w:fldCharType="separate"/>
      </w:r>
      <w:r w:rsidR="00277BEC" w:rsidRPr="00277BEC">
        <w:rPr>
          <w:rFonts w:cs="Arial"/>
          <w:b/>
          <w:noProof/>
        </w:rPr>
        <w:t>8</w:t>
      </w:r>
      <w:r w:rsidRPr="00277BEC">
        <w:rPr>
          <w:rFonts w:cs="Arial"/>
          <w:b/>
        </w:rPr>
        <w:fldChar w:fldCharType="end"/>
      </w:r>
      <w:r w:rsidRPr="00277BEC">
        <w:rPr>
          <w:rFonts w:cs="Arial"/>
        </w:rPr>
        <w:t xml:space="preserve"> Percentages of students in the tertiary cohort at each step of the reading scale attaining the literacy requirement for NCEA.</w:t>
      </w:r>
      <w:bookmarkEnd w:id="51"/>
      <w:r w:rsidRPr="00277BEC">
        <w:rPr>
          <w:rFonts w:cs="Arial"/>
        </w:rPr>
        <w:t xml:space="preserve"> </w:t>
      </w:r>
    </w:p>
    <w:tbl>
      <w:tblPr>
        <w:tblW w:w="8505"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500"/>
        <w:gridCol w:w="2573"/>
        <w:gridCol w:w="2145"/>
        <w:gridCol w:w="2287"/>
      </w:tblGrid>
      <w:tr w:rsidR="00250BCB" w:rsidRPr="00277BEC" w14:paraId="5EE5FBCD" w14:textId="77777777" w:rsidTr="00250BCB">
        <w:trPr>
          <w:trHeight w:val="619"/>
          <w:tblCellSpacing w:w="20" w:type="dxa"/>
        </w:trPr>
        <w:tc>
          <w:tcPr>
            <w:tcW w:w="1440" w:type="dxa"/>
            <w:shd w:val="clear" w:color="auto" w:fill="auto"/>
            <w:vAlign w:val="bottom"/>
            <w:hideMark/>
          </w:tcPr>
          <w:p w14:paraId="7BE2DFC6" w14:textId="77777777" w:rsidR="00250BCB" w:rsidRPr="00277BEC" w:rsidRDefault="00250BCB" w:rsidP="00250BCB">
            <w:pPr>
              <w:pStyle w:val="Tabletext"/>
              <w:jc w:val="left"/>
              <w:rPr>
                <w:lang w:eastAsia="en-NZ"/>
              </w:rPr>
            </w:pPr>
            <w:r w:rsidRPr="00277BEC">
              <w:rPr>
                <w:lang w:eastAsia="en-NZ"/>
              </w:rPr>
              <w:t>Reading Step</w:t>
            </w:r>
          </w:p>
        </w:tc>
        <w:tc>
          <w:tcPr>
            <w:tcW w:w="2533" w:type="dxa"/>
            <w:shd w:val="clear" w:color="auto" w:fill="auto"/>
            <w:noWrap/>
            <w:vAlign w:val="bottom"/>
            <w:hideMark/>
          </w:tcPr>
          <w:p w14:paraId="49AFAF5B" w14:textId="77777777" w:rsidR="00250BCB" w:rsidRPr="00277BEC" w:rsidRDefault="00250BCB" w:rsidP="00250BCB">
            <w:pPr>
              <w:pStyle w:val="Tabletext"/>
              <w:jc w:val="left"/>
              <w:rPr>
                <w:lang w:eastAsia="en-NZ"/>
              </w:rPr>
            </w:pPr>
            <w:r w:rsidRPr="00277BEC">
              <w:rPr>
                <w:caps/>
                <w:lang w:eastAsia="en-NZ"/>
              </w:rPr>
              <w:t>a</w:t>
            </w:r>
            <w:r w:rsidRPr="00277BEC">
              <w:rPr>
                <w:lang w:eastAsia="en-NZ"/>
              </w:rPr>
              <w:t>ttained NCEA Literacy (%)</w:t>
            </w:r>
          </w:p>
        </w:tc>
        <w:tc>
          <w:tcPr>
            <w:tcW w:w="2105" w:type="dxa"/>
            <w:shd w:val="clear" w:color="auto" w:fill="auto"/>
            <w:vAlign w:val="bottom"/>
            <w:hideMark/>
          </w:tcPr>
          <w:p w14:paraId="73E71CC8" w14:textId="77777777" w:rsidR="00250BCB" w:rsidRPr="00277BEC" w:rsidRDefault="00250BCB" w:rsidP="00250BCB">
            <w:pPr>
              <w:pStyle w:val="Tabletext"/>
              <w:jc w:val="left"/>
              <w:rPr>
                <w:lang w:eastAsia="en-NZ"/>
              </w:rPr>
            </w:pPr>
            <w:r w:rsidRPr="00277BEC">
              <w:rPr>
                <w:lang w:eastAsia="en-NZ"/>
              </w:rPr>
              <w:t>%Probability (mean)</w:t>
            </w:r>
          </w:p>
        </w:tc>
        <w:tc>
          <w:tcPr>
            <w:tcW w:w="2227" w:type="dxa"/>
            <w:shd w:val="clear" w:color="auto" w:fill="auto"/>
            <w:vAlign w:val="bottom"/>
            <w:hideMark/>
          </w:tcPr>
          <w:p w14:paraId="044825FD" w14:textId="77777777" w:rsidR="00250BCB" w:rsidRPr="00277BEC" w:rsidRDefault="00250BCB" w:rsidP="00250BCB">
            <w:pPr>
              <w:pStyle w:val="Tabletext"/>
              <w:jc w:val="left"/>
              <w:rPr>
                <w:lang w:eastAsia="en-NZ"/>
              </w:rPr>
            </w:pPr>
            <w:r w:rsidRPr="00277BEC">
              <w:rPr>
                <w:lang w:eastAsia="en-NZ"/>
              </w:rPr>
              <w:t>%Probability (minimum)</w:t>
            </w:r>
          </w:p>
        </w:tc>
      </w:tr>
      <w:tr w:rsidR="00250BCB" w:rsidRPr="00277BEC" w14:paraId="722129DB" w14:textId="77777777" w:rsidTr="00250BCB">
        <w:trPr>
          <w:trHeight w:val="300"/>
          <w:tblCellSpacing w:w="20" w:type="dxa"/>
        </w:trPr>
        <w:tc>
          <w:tcPr>
            <w:tcW w:w="1440" w:type="dxa"/>
            <w:shd w:val="clear" w:color="auto" w:fill="auto"/>
            <w:noWrap/>
            <w:vAlign w:val="bottom"/>
            <w:hideMark/>
          </w:tcPr>
          <w:p w14:paraId="37F9DDB6" w14:textId="77777777" w:rsidR="00250BCB" w:rsidRPr="00277BEC" w:rsidRDefault="00250BCB" w:rsidP="00250BCB">
            <w:pPr>
              <w:pStyle w:val="Tabletext"/>
              <w:rPr>
                <w:lang w:eastAsia="en-NZ"/>
              </w:rPr>
            </w:pPr>
            <w:r w:rsidRPr="00277BEC">
              <w:rPr>
                <w:lang w:eastAsia="en-NZ"/>
              </w:rPr>
              <w:t>1</w:t>
            </w:r>
          </w:p>
        </w:tc>
        <w:tc>
          <w:tcPr>
            <w:tcW w:w="2533" w:type="dxa"/>
            <w:shd w:val="clear" w:color="auto" w:fill="auto"/>
            <w:noWrap/>
            <w:vAlign w:val="bottom"/>
            <w:hideMark/>
          </w:tcPr>
          <w:p w14:paraId="07BB5AB9" w14:textId="77777777" w:rsidR="00250BCB" w:rsidRPr="00277BEC" w:rsidRDefault="00250BCB" w:rsidP="00250BCB">
            <w:pPr>
              <w:pStyle w:val="Tabletext"/>
              <w:rPr>
                <w:lang w:eastAsia="en-NZ"/>
              </w:rPr>
            </w:pPr>
            <w:r w:rsidRPr="00277BEC">
              <w:rPr>
                <w:lang w:eastAsia="en-NZ"/>
              </w:rPr>
              <w:t>36.3</w:t>
            </w:r>
          </w:p>
        </w:tc>
        <w:tc>
          <w:tcPr>
            <w:tcW w:w="2105" w:type="dxa"/>
            <w:shd w:val="clear" w:color="auto" w:fill="auto"/>
            <w:noWrap/>
            <w:vAlign w:val="bottom"/>
            <w:hideMark/>
          </w:tcPr>
          <w:p w14:paraId="39942940" w14:textId="77777777" w:rsidR="00250BCB" w:rsidRPr="00277BEC" w:rsidRDefault="00250BCB" w:rsidP="00250BCB">
            <w:pPr>
              <w:pStyle w:val="Tabletext"/>
              <w:rPr>
                <w:lang w:eastAsia="en-NZ"/>
              </w:rPr>
            </w:pPr>
            <w:r w:rsidRPr="00277BEC">
              <w:rPr>
                <w:lang w:eastAsia="en-NZ"/>
              </w:rPr>
              <w:t>35.2</w:t>
            </w:r>
          </w:p>
        </w:tc>
        <w:tc>
          <w:tcPr>
            <w:tcW w:w="2227" w:type="dxa"/>
            <w:shd w:val="clear" w:color="auto" w:fill="auto"/>
            <w:noWrap/>
            <w:vAlign w:val="bottom"/>
            <w:hideMark/>
          </w:tcPr>
          <w:p w14:paraId="03FF3F04" w14:textId="77777777" w:rsidR="00250BCB" w:rsidRPr="00277BEC" w:rsidRDefault="00250BCB" w:rsidP="00250BCB">
            <w:pPr>
              <w:pStyle w:val="Tabletext"/>
              <w:rPr>
                <w:lang w:eastAsia="en-NZ"/>
              </w:rPr>
            </w:pPr>
            <w:r w:rsidRPr="00277BEC">
              <w:rPr>
                <w:lang w:eastAsia="en-NZ"/>
              </w:rPr>
              <w:t>2.4</w:t>
            </w:r>
          </w:p>
        </w:tc>
      </w:tr>
      <w:tr w:rsidR="00250BCB" w:rsidRPr="00277BEC" w14:paraId="70468AE1" w14:textId="77777777" w:rsidTr="00250BCB">
        <w:trPr>
          <w:trHeight w:val="300"/>
          <w:tblCellSpacing w:w="20" w:type="dxa"/>
        </w:trPr>
        <w:tc>
          <w:tcPr>
            <w:tcW w:w="1440" w:type="dxa"/>
            <w:shd w:val="clear" w:color="auto" w:fill="auto"/>
            <w:noWrap/>
            <w:vAlign w:val="bottom"/>
            <w:hideMark/>
          </w:tcPr>
          <w:p w14:paraId="7D4FB99B" w14:textId="77777777" w:rsidR="00250BCB" w:rsidRPr="00277BEC" w:rsidRDefault="00250BCB" w:rsidP="00250BCB">
            <w:pPr>
              <w:pStyle w:val="Tabletext"/>
              <w:rPr>
                <w:lang w:eastAsia="en-NZ"/>
              </w:rPr>
            </w:pPr>
            <w:r w:rsidRPr="00277BEC">
              <w:rPr>
                <w:lang w:eastAsia="en-NZ"/>
              </w:rPr>
              <w:t>2</w:t>
            </w:r>
          </w:p>
        </w:tc>
        <w:tc>
          <w:tcPr>
            <w:tcW w:w="2533" w:type="dxa"/>
            <w:shd w:val="clear" w:color="auto" w:fill="auto"/>
            <w:noWrap/>
            <w:vAlign w:val="bottom"/>
            <w:hideMark/>
          </w:tcPr>
          <w:p w14:paraId="769063AB" w14:textId="77777777" w:rsidR="00250BCB" w:rsidRPr="00277BEC" w:rsidRDefault="00250BCB" w:rsidP="00250BCB">
            <w:pPr>
              <w:pStyle w:val="Tabletext"/>
              <w:rPr>
                <w:lang w:eastAsia="en-NZ"/>
              </w:rPr>
            </w:pPr>
            <w:r w:rsidRPr="00277BEC">
              <w:rPr>
                <w:lang w:eastAsia="en-NZ"/>
              </w:rPr>
              <w:t>53.3</w:t>
            </w:r>
          </w:p>
        </w:tc>
        <w:tc>
          <w:tcPr>
            <w:tcW w:w="2105" w:type="dxa"/>
            <w:shd w:val="clear" w:color="auto" w:fill="auto"/>
            <w:noWrap/>
            <w:vAlign w:val="bottom"/>
            <w:hideMark/>
          </w:tcPr>
          <w:p w14:paraId="1C4C9AC6" w14:textId="77777777" w:rsidR="00250BCB" w:rsidRPr="00277BEC" w:rsidRDefault="00250BCB" w:rsidP="00250BCB">
            <w:pPr>
              <w:pStyle w:val="Tabletext"/>
              <w:rPr>
                <w:lang w:eastAsia="en-NZ"/>
              </w:rPr>
            </w:pPr>
            <w:r w:rsidRPr="00277BEC">
              <w:rPr>
                <w:lang w:eastAsia="en-NZ"/>
              </w:rPr>
              <w:t>55.1</w:t>
            </w:r>
          </w:p>
        </w:tc>
        <w:tc>
          <w:tcPr>
            <w:tcW w:w="2227" w:type="dxa"/>
            <w:shd w:val="clear" w:color="auto" w:fill="auto"/>
            <w:noWrap/>
            <w:vAlign w:val="bottom"/>
            <w:hideMark/>
          </w:tcPr>
          <w:p w14:paraId="41DA56F3" w14:textId="77777777" w:rsidR="00250BCB" w:rsidRPr="00277BEC" w:rsidRDefault="00250BCB" w:rsidP="00250BCB">
            <w:pPr>
              <w:pStyle w:val="Tabletext"/>
              <w:rPr>
                <w:lang w:eastAsia="en-NZ"/>
              </w:rPr>
            </w:pPr>
            <w:r w:rsidRPr="00277BEC">
              <w:rPr>
                <w:lang w:eastAsia="en-NZ"/>
              </w:rPr>
              <w:t>44.2</w:t>
            </w:r>
          </w:p>
        </w:tc>
      </w:tr>
      <w:tr w:rsidR="00250BCB" w:rsidRPr="00277BEC" w14:paraId="3E9D5709" w14:textId="77777777" w:rsidTr="00250BCB">
        <w:trPr>
          <w:trHeight w:val="300"/>
          <w:tblCellSpacing w:w="20" w:type="dxa"/>
        </w:trPr>
        <w:tc>
          <w:tcPr>
            <w:tcW w:w="1440" w:type="dxa"/>
            <w:shd w:val="clear" w:color="auto" w:fill="auto"/>
            <w:noWrap/>
            <w:vAlign w:val="bottom"/>
            <w:hideMark/>
          </w:tcPr>
          <w:p w14:paraId="5D4ADB70" w14:textId="77777777" w:rsidR="00250BCB" w:rsidRPr="00277BEC" w:rsidRDefault="00250BCB" w:rsidP="00250BCB">
            <w:pPr>
              <w:pStyle w:val="Tabletext"/>
              <w:rPr>
                <w:lang w:eastAsia="en-NZ"/>
              </w:rPr>
            </w:pPr>
            <w:r w:rsidRPr="00277BEC">
              <w:rPr>
                <w:lang w:eastAsia="en-NZ"/>
              </w:rPr>
              <w:t>3</w:t>
            </w:r>
          </w:p>
        </w:tc>
        <w:tc>
          <w:tcPr>
            <w:tcW w:w="2533" w:type="dxa"/>
            <w:shd w:val="clear" w:color="auto" w:fill="auto"/>
            <w:noWrap/>
            <w:vAlign w:val="bottom"/>
            <w:hideMark/>
          </w:tcPr>
          <w:p w14:paraId="1BD141B7" w14:textId="77777777" w:rsidR="00250BCB" w:rsidRPr="00277BEC" w:rsidRDefault="00250BCB" w:rsidP="00250BCB">
            <w:pPr>
              <w:pStyle w:val="Tabletext"/>
              <w:rPr>
                <w:lang w:eastAsia="en-NZ"/>
              </w:rPr>
            </w:pPr>
            <w:r w:rsidRPr="00277BEC">
              <w:rPr>
                <w:lang w:eastAsia="en-NZ"/>
              </w:rPr>
              <w:t>68.9</w:t>
            </w:r>
          </w:p>
        </w:tc>
        <w:tc>
          <w:tcPr>
            <w:tcW w:w="2105" w:type="dxa"/>
            <w:shd w:val="clear" w:color="auto" w:fill="auto"/>
            <w:noWrap/>
            <w:vAlign w:val="bottom"/>
            <w:hideMark/>
          </w:tcPr>
          <w:p w14:paraId="45D2BDC8" w14:textId="77777777" w:rsidR="00250BCB" w:rsidRPr="00277BEC" w:rsidRDefault="00250BCB" w:rsidP="00250BCB">
            <w:pPr>
              <w:pStyle w:val="Tabletext"/>
              <w:rPr>
                <w:lang w:eastAsia="en-NZ"/>
              </w:rPr>
            </w:pPr>
            <w:r w:rsidRPr="00277BEC">
              <w:rPr>
                <w:lang w:eastAsia="en-NZ"/>
              </w:rPr>
              <w:t>70.3</w:t>
            </w:r>
          </w:p>
        </w:tc>
        <w:tc>
          <w:tcPr>
            <w:tcW w:w="2227" w:type="dxa"/>
            <w:shd w:val="clear" w:color="auto" w:fill="auto"/>
            <w:noWrap/>
            <w:vAlign w:val="bottom"/>
            <w:hideMark/>
          </w:tcPr>
          <w:p w14:paraId="40C77341" w14:textId="77777777" w:rsidR="00250BCB" w:rsidRPr="00277BEC" w:rsidRDefault="00250BCB" w:rsidP="00250BCB">
            <w:pPr>
              <w:pStyle w:val="Tabletext"/>
              <w:rPr>
                <w:lang w:eastAsia="en-NZ"/>
              </w:rPr>
            </w:pPr>
            <w:r w:rsidRPr="00277BEC">
              <w:rPr>
                <w:lang w:eastAsia="en-NZ"/>
              </w:rPr>
              <w:t>62.3</w:t>
            </w:r>
          </w:p>
        </w:tc>
      </w:tr>
      <w:tr w:rsidR="00250BCB" w:rsidRPr="00277BEC" w14:paraId="0DB5B6A9" w14:textId="77777777" w:rsidTr="00250BCB">
        <w:trPr>
          <w:trHeight w:val="300"/>
          <w:tblCellSpacing w:w="20" w:type="dxa"/>
        </w:trPr>
        <w:tc>
          <w:tcPr>
            <w:tcW w:w="1440" w:type="dxa"/>
            <w:shd w:val="clear" w:color="auto" w:fill="auto"/>
            <w:noWrap/>
            <w:vAlign w:val="bottom"/>
            <w:hideMark/>
          </w:tcPr>
          <w:p w14:paraId="3520C69E" w14:textId="77777777" w:rsidR="00250BCB" w:rsidRPr="00277BEC" w:rsidRDefault="00250BCB" w:rsidP="00250BCB">
            <w:pPr>
              <w:pStyle w:val="Tabletext"/>
              <w:rPr>
                <w:lang w:eastAsia="en-NZ"/>
              </w:rPr>
            </w:pPr>
            <w:r w:rsidRPr="00277BEC">
              <w:rPr>
                <w:lang w:eastAsia="en-NZ"/>
              </w:rPr>
              <w:t>4</w:t>
            </w:r>
          </w:p>
        </w:tc>
        <w:tc>
          <w:tcPr>
            <w:tcW w:w="2533" w:type="dxa"/>
            <w:shd w:val="clear" w:color="auto" w:fill="auto"/>
            <w:noWrap/>
            <w:vAlign w:val="bottom"/>
            <w:hideMark/>
          </w:tcPr>
          <w:p w14:paraId="457066C7" w14:textId="77777777" w:rsidR="00250BCB" w:rsidRPr="00277BEC" w:rsidRDefault="00250BCB" w:rsidP="00250BCB">
            <w:pPr>
              <w:pStyle w:val="Tabletext"/>
              <w:rPr>
                <w:lang w:eastAsia="en-NZ"/>
              </w:rPr>
            </w:pPr>
            <w:r w:rsidRPr="00277BEC">
              <w:rPr>
                <w:lang w:eastAsia="en-NZ"/>
              </w:rPr>
              <w:t>82.0</w:t>
            </w:r>
          </w:p>
        </w:tc>
        <w:tc>
          <w:tcPr>
            <w:tcW w:w="2105" w:type="dxa"/>
            <w:shd w:val="clear" w:color="auto" w:fill="auto"/>
            <w:noWrap/>
            <w:vAlign w:val="bottom"/>
            <w:hideMark/>
          </w:tcPr>
          <w:p w14:paraId="0423AFCC" w14:textId="77777777" w:rsidR="00250BCB" w:rsidRPr="00277BEC" w:rsidRDefault="00250BCB" w:rsidP="00250BCB">
            <w:pPr>
              <w:pStyle w:val="Tabletext"/>
              <w:rPr>
                <w:lang w:eastAsia="en-NZ"/>
              </w:rPr>
            </w:pPr>
            <w:r w:rsidRPr="00277BEC">
              <w:rPr>
                <w:lang w:eastAsia="en-NZ"/>
              </w:rPr>
              <w:t>81.0</w:t>
            </w:r>
          </w:p>
        </w:tc>
        <w:tc>
          <w:tcPr>
            <w:tcW w:w="2227" w:type="dxa"/>
            <w:shd w:val="clear" w:color="auto" w:fill="auto"/>
            <w:noWrap/>
            <w:vAlign w:val="bottom"/>
            <w:hideMark/>
          </w:tcPr>
          <w:p w14:paraId="681BCDDE" w14:textId="77777777" w:rsidR="00250BCB" w:rsidRPr="00277BEC" w:rsidRDefault="00250BCB" w:rsidP="00250BCB">
            <w:pPr>
              <w:pStyle w:val="Tabletext"/>
              <w:rPr>
                <w:lang w:eastAsia="en-NZ"/>
              </w:rPr>
            </w:pPr>
            <w:r w:rsidRPr="00277BEC">
              <w:rPr>
                <w:lang w:eastAsia="en-NZ"/>
              </w:rPr>
              <w:t>76.5</w:t>
            </w:r>
          </w:p>
        </w:tc>
      </w:tr>
      <w:tr w:rsidR="00250BCB" w:rsidRPr="00277BEC" w14:paraId="43DBB8CF" w14:textId="77777777" w:rsidTr="00250BCB">
        <w:trPr>
          <w:trHeight w:val="300"/>
          <w:tblCellSpacing w:w="20" w:type="dxa"/>
        </w:trPr>
        <w:tc>
          <w:tcPr>
            <w:tcW w:w="1440" w:type="dxa"/>
            <w:shd w:val="clear" w:color="auto" w:fill="auto"/>
            <w:noWrap/>
            <w:vAlign w:val="bottom"/>
            <w:hideMark/>
          </w:tcPr>
          <w:p w14:paraId="0F2D3249" w14:textId="77777777" w:rsidR="00250BCB" w:rsidRPr="00277BEC" w:rsidRDefault="00250BCB" w:rsidP="00250BCB">
            <w:pPr>
              <w:pStyle w:val="Tabletext"/>
              <w:rPr>
                <w:lang w:eastAsia="en-NZ"/>
              </w:rPr>
            </w:pPr>
            <w:r w:rsidRPr="00277BEC">
              <w:rPr>
                <w:lang w:eastAsia="en-NZ"/>
              </w:rPr>
              <w:t>5</w:t>
            </w:r>
          </w:p>
        </w:tc>
        <w:tc>
          <w:tcPr>
            <w:tcW w:w="2533" w:type="dxa"/>
            <w:shd w:val="clear" w:color="auto" w:fill="auto"/>
            <w:noWrap/>
            <w:vAlign w:val="bottom"/>
            <w:hideMark/>
          </w:tcPr>
          <w:p w14:paraId="53EED989" w14:textId="77777777" w:rsidR="00250BCB" w:rsidRPr="00277BEC" w:rsidRDefault="00250BCB" w:rsidP="00250BCB">
            <w:pPr>
              <w:pStyle w:val="Tabletext"/>
              <w:rPr>
                <w:lang w:eastAsia="en-NZ"/>
              </w:rPr>
            </w:pPr>
            <w:r w:rsidRPr="00277BEC">
              <w:rPr>
                <w:lang w:eastAsia="en-NZ"/>
              </w:rPr>
              <w:t>87.8</w:t>
            </w:r>
          </w:p>
        </w:tc>
        <w:tc>
          <w:tcPr>
            <w:tcW w:w="2105" w:type="dxa"/>
            <w:shd w:val="clear" w:color="auto" w:fill="auto"/>
            <w:noWrap/>
            <w:vAlign w:val="bottom"/>
            <w:hideMark/>
          </w:tcPr>
          <w:p w14:paraId="0D1C2D65" w14:textId="77777777" w:rsidR="00250BCB" w:rsidRPr="00277BEC" w:rsidRDefault="00250BCB" w:rsidP="00250BCB">
            <w:pPr>
              <w:pStyle w:val="Tabletext"/>
              <w:rPr>
                <w:lang w:eastAsia="en-NZ"/>
              </w:rPr>
            </w:pPr>
            <w:r w:rsidRPr="00277BEC">
              <w:rPr>
                <w:lang w:eastAsia="en-NZ"/>
              </w:rPr>
              <w:t>87.6</w:t>
            </w:r>
          </w:p>
        </w:tc>
        <w:tc>
          <w:tcPr>
            <w:tcW w:w="2227" w:type="dxa"/>
            <w:shd w:val="clear" w:color="auto" w:fill="auto"/>
            <w:noWrap/>
            <w:vAlign w:val="bottom"/>
            <w:hideMark/>
          </w:tcPr>
          <w:p w14:paraId="0D064041" w14:textId="77777777" w:rsidR="00250BCB" w:rsidRPr="00277BEC" w:rsidRDefault="00250BCB" w:rsidP="00250BCB">
            <w:pPr>
              <w:pStyle w:val="Tabletext"/>
              <w:rPr>
                <w:lang w:eastAsia="en-NZ"/>
              </w:rPr>
            </w:pPr>
            <w:r w:rsidRPr="00277BEC">
              <w:rPr>
                <w:lang w:eastAsia="en-NZ"/>
              </w:rPr>
              <w:t>85.4</w:t>
            </w:r>
          </w:p>
        </w:tc>
      </w:tr>
      <w:tr w:rsidR="00250BCB" w:rsidRPr="00277BEC" w14:paraId="5B92B6A9" w14:textId="77777777" w:rsidTr="00250BCB">
        <w:trPr>
          <w:trHeight w:val="300"/>
          <w:tblCellSpacing w:w="20" w:type="dxa"/>
        </w:trPr>
        <w:tc>
          <w:tcPr>
            <w:tcW w:w="1440" w:type="dxa"/>
            <w:shd w:val="clear" w:color="auto" w:fill="auto"/>
            <w:noWrap/>
            <w:vAlign w:val="bottom"/>
            <w:hideMark/>
          </w:tcPr>
          <w:p w14:paraId="5F4DA3B5" w14:textId="77777777" w:rsidR="00250BCB" w:rsidRPr="00277BEC" w:rsidRDefault="00250BCB" w:rsidP="00250BCB">
            <w:pPr>
              <w:pStyle w:val="Tabletext"/>
              <w:rPr>
                <w:lang w:eastAsia="en-NZ"/>
              </w:rPr>
            </w:pPr>
            <w:r w:rsidRPr="00277BEC">
              <w:rPr>
                <w:lang w:eastAsia="en-NZ"/>
              </w:rPr>
              <w:t>6</w:t>
            </w:r>
          </w:p>
        </w:tc>
        <w:tc>
          <w:tcPr>
            <w:tcW w:w="2533" w:type="dxa"/>
            <w:shd w:val="clear" w:color="auto" w:fill="auto"/>
            <w:noWrap/>
            <w:vAlign w:val="bottom"/>
            <w:hideMark/>
          </w:tcPr>
          <w:p w14:paraId="408E2DAC" w14:textId="77777777" w:rsidR="00250BCB" w:rsidRPr="00277BEC" w:rsidRDefault="00250BCB" w:rsidP="00250BCB">
            <w:pPr>
              <w:pStyle w:val="Tabletext"/>
              <w:rPr>
                <w:lang w:eastAsia="en-NZ"/>
              </w:rPr>
            </w:pPr>
            <w:r w:rsidRPr="00277BEC">
              <w:rPr>
                <w:lang w:eastAsia="en-NZ"/>
              </w:rPr>
              <w:t>88.5</w:t>
            </w:r>
          </w:p>
        </w:tc>
        <w:tc>
          <w:tcPr>
            <w:tcW w:w="2105" w:type="dxa"/>
            <w:shd w:val="clear" w:color="auto" w:fill="auto"/>
            <w:noWrap/>
            <w:vAlign w:val="bottom"/>
            <w:hideMark/>
          </w:tcPr>
          <w:p w14:paraId="297AEDF0" w14:textId="77777777" w:rsidR="00250BCB" w:rsidRPr="00277BEC" w:rsidRDefault="00250BCB" w:rsidP="00250BCB">
            <w:pPr>
              <w:pStyle w:val="Tabletext"/>
              <w:rPr>
                <w:lang w:eastAsia="en-NZ"/>
              </w:rPr>
            </w:pPr>
            <w:r w:rsidRPr="00277BEC">
              <w:rPr>
                <w:lang w:eastAsia="en-NZ"/>
              </w:rPr>
              <w:t>92.8</w:t>
            </w:r>
          </w:p>
        </w:tc>
        <w:tc>
          <w:tcPr>
            <w:tcW w:w="2227" w:type="dxa"/>
            <w:shd w:val="clear" w:color="auto" w:fill="auto"/>
            <w:noWrap/>
            <w:vAlign w:val="bottom"/>
            <w:hideMark/>
          </w:tcPr>
          <w:p w14:paraId="6C06CA7B" w14:textId="77777777" w:rsidR="00250BCB" w:rsidRPr="00277BEC" w:rsidRDefault="00250BCB" w:rsidP="00250BCB">
            <w:pPr>
              <w:pStyle w:val="Tabletext"/>
              <w:rPr>
                <w:lang w:eastAsia="en-NZ"/>
              </w:rPr>
            </w:pPr>
            <w:r w:rsidRPr="00277BEC">
              <w:rPr>
                <w:lang w:eastAsia="en-NZ"/>
              </w:rPr>
              <w:t>90.2</w:t>
            </w:r>
          </w:p>
        </w:tc>
      </w:tr>
      <w:tr w:rsidR="00250BCB" w:rsidRPr="00277BEC" w14:paraId="1DC96946" w14:textId="77777777" w:rsidTr="00250BCB">
        <w:trPr>
          <w:trHeight w:val="300"/>
          <w:tblCellSpacing w:w="20" w:type="dxa"/>
        </w:trPr>
        <w:tc>
          <w:tcPr>
            <w:tcW w:w="1440" w:type="dxa"/>
            <w:shd w:val="clear" w:color="auto" w:fill="auto"/>
            <w:noWrap/>
            <w:vAlign w:val="bottom"/>
            <w:hideMark/>
          </w:tcPr>
          <w:p w14:paraId="2676537A" w14:textId="77777777" w:rsidR="00250BCB" w:rsidRPr="00277BEC" w:rsidRDefault="00250BCB" w:rsidP="00250BCB">
            <w:pPr>
              <w:pStyle w:val="Tabletext"/>
              <w:rPr>
                <w:b/>
                <w:i/>
                <w:iCs/>
                <w:lang w:eastAsia="en-NZ"/>
              </w:rPr>
            </w:pPr>
            <w:r w:rsidRPr="00277BEC">
              <w:rPr>
                <w:b/>
                <w:i/>
                <w:iCs/>
                <w:lang w:eastAsia="en-NZ"/>
              </w:rPr>
              <w:t>n</w:t>
            </w:r>
          </w:p>
        </w:tc>
        <w:tc>
          <w:tcPr>
            <w:tcW w:w="2533" w:type="dxa"/>
            <w:shd w:val="clear" w:color="auto" w:fill="auto"/>
            <w:noWrap/>
            <w:vAlign w:val="bottom"/>
            <w:hideMark/>
          </w:tcPr>
          <w:p w14:paraId="246D403F" w14:textId="77777777" w:rsidR="00250BCB" w:rsidRPr="00277BEC" w:rsidRDefault="00250BCB" w:rsidP="00250BCB">
            <w:pPr>
              <w:pStyle w:val="Tabletext"/>
              <w:rPr>
                <w:lang w:eastAsia="en-NZ"/>
              </w:rPr>
            </w:pPr>
            <w:r w:rsidRPr="00277BEC">
              <w:rPr>
                <w:lang w:eastAsia="en-NZ"/>
              </w:rPr>
              <w:t>21,772</w:t>
            </w:r>
          </w:p>
        </w:tc>
        <w:tc>
          <w:tcPr>
            <w:tcW w:w="2105" w:type="dxa"/>
            <w:shd w:val="clear" w:color="auto" w:fill="auto"/>
            <w:noWrap/>
            <w:vAlign w:val="bottom"/>
            <w:hideMark/>
          </w:tcPr>
          <w:p w14:paraId="0E466AF6" w14:textId="77777777" w:rsidR="00250BCB" w:rsidRPr="00277BEC" w:rsidRDefault="00250BCB" w:rsidP="00250BCB">
            <w:pPr>
              <w:pStyle w:val="Tabletext"/>
              <w:rPr>
                <w:lang w:eastAsia="en-NZ"/>
              </w:rPr>
            </w:pPr>
          </w:p>
        </w:tc>
        <w:tc>
          <w:tcPr>
            <w:tcW w:w="2227" w:type="dxa"/>
            <w:shd w:val="clear" w:color="auto" w:fill="auto"/>
            <w:noWrap/>
            <w:vAlign w:val="bottom"/>
            <w:hideMark/>
          </w:tcPr>
          <w:p w14:paraId="3E820A14" w14:textId="77777777" w:rsidR="00250BCB" w:rsidRPr="00277BEC" w:rsidRDefault="00250BCB" w:rsidP="00250BCB">
            <w:pPr>
              <w:pStyle w:val="Tabletext"/>
              <w:rPr>
                <w:lang w:eastAsia="en-NZ"/>
              </w:rPr>
            </w:pPr>
          </w:p>
        </w:tc>
      </w:tr>
    </w:tbl>
    <w:p w14:paraId="52D86B42" w14:textId="77777777" w:rsidR="00250BCB" w:rsidRPr="00277BEC" w:rsidRDefault="00250BCB" w:rsidP="00250BCB">
      <w:pPr>
        <w:pStyle w:val="BodyText"/>
        <w:spacing w:after="0" w:line="276" w:lineRule="auto"/>
        <w:rPr>
          <w:rFonts w:ascii="Arial" w:eastAsiaTheme="minorEastAsia" w:hAnsi="Arial" w:cs="Arial"/>
          <w:bCs w:val="0"/>
          <w:color w:val="000000" w:themeColor="text1"/>
          <w:sz w:val="18"/>
          <w:szCs w:val="18"/>
        </w:rPr>
      </w:pPr>
      <w:r w:rsidRPr="00277BEC">
        <w:rPr>
          <w:rFonts w:ascii="Arial" w:eastAsiaTheme="minorEastAsia" w:hAnsi="Arial" w:cs="Arial"/>
          <w:bCs w:val="0"/>
          <w:color w:val="000000" w:themeColor="text1"/>
          <w:sz w:val="18"/>
          <w:szCs w:val="18"/>
        </w:rPr>
        <w:t>Note: Probability values are from a logistic regression model based on the mean scale location for students at each step, and the minimum scale score for each step.</w:t>
      </w:r>
    </w:p>
    <w:p w14:paraId="5397B218" w14:textId="77777777" w:rsidR="00250BCB" w:rsidRPr="00277BEC" w:rsidRDefault="00250BCB" w:rsidP="00250BCB">
      <w:pPr>
        <w:pStyle w:val="Heading2"/>
        <w:rPr>
          <w:rFonts w:cs="Arial"/>
        </w:rPr>
      </w:pPr>
      <w:bookmarkStart w:id="52" w:name="_Toc417920185"/>
      <w:r w:rsidRPr="00277BEC">
        <w:rPr>
          <w:rFonts w:cs="Arial"/>
        </w:rPr>
        <w:t>Reading and numeracy profiles of students</w:t>
      </w:r>
      <w:bookmarkEnd w:id="52"/>
    </w:p>
    <w:p w14:paraId="7D982ADE" w14:textId="2427FC1E" w:rsidR="00250BCB" w:rsidRPr="00277BEC" w:rsidRDefault="00250BCB" w:rsidP="00B0501D">
      <w:pPr>
        <w:pStyle w:val="BodyText"/>
        <w:jc w:val="left"/>
        <w:rPr>
          <w:rFonts w:ascii="Arial" w:hAnsi="Arial" w:cs="Arial"/>
        </w:rPr>
      </w:pPr>
      <w:r w:rsidRPr="00277BEC">
        <w:rPr>
          <w:rFonts w:ascii="Arial" w:hAnsi="Arial" w:cs="Arial"/>
        </w:rPr>
        <w:t>This section investigates the reading and numeracy profiles of those students who met the literacy and numeracy requirements and those student</w:t>
      </w:r>
      <w:r w:rsidR="00FF2AFD" w:rsidRPr="00277BEC">
        <w:rPr>
          <w:rFonts w:ascii="Arial" w:hAnsi="Arial" w:cs="Arial"/>
        </w:rPr>
        <w:t>s</w:t>
      </w:r>
      <w:r w:rsidRPr="00277BEC">
        <w:rPr>
          <w:rFonts w:ascii="Arial" w:hAnsi="Arial" w:cs="Arial"/>
        </w:rPr>
        <w:t xml:space="preserve"> who gained NCEA qualifications. Data from the school and tertiary cohorts is used to address the question:</w:t>
      </w:r>
    </w:p>
    <w:p w14:paraId="51B172EB" w14:textId="460128D9" w:rsidR="00250BCB" w:rsidRPr="004B4F59" w:rsidRDefault="00B0501D" w:rsidP="00B0501D">
      <w:pPr>
        <w:pStyle w:val="BodyText"/>
        <w:ind w:left="709" w:hanging="425"/>
        <w:jc w:val="left"/>
        <w:rPr>
          <w:rFonts w:ascii="Arial" w:hAnsi="Arial" w:cs="Arial"/>
          <w:b/>
        </w:rPr>
      </w:pPr>
      <w:r w:rsidRPr="004B4F59">
        <w:rPr>
          <w:rFonts w:ascii="Arial" w:hAnsi="Arial" w:cs="Arial"/>
          <w:b/>
        </w:rPr>
        <w:t>4.</w:t>
      </w:r>
      <w:r w:rsidRPr="004B4F59">
        <w:rPr>
          <w:rFonts w:ascii="Arial" w:hAnsi="Arial" w:cs="Arial"/>
          <w:b/>
        </w:rPr>
        <w:tab/>
      </w:r>
      <w:r w:rsidR="00250BCB" w:rsidRPr="004B4F59">
        <w:rPr>
          <w:rFonts w:ascii="Arial" w:hAnsi="Arial" w:cs="Arial"/>
          <w:b/>
        </w:rPr>
        <w:t>What is the distribution on the Assessment Tool scales, and by extension, on the learning progressions, of students who gain NCEA literacy and numeracy requirements?</w:t>
      </w:r>
    </w:p>
    <w:p w14:paraId="1F928D58" w14:textId="77777777" w:rsidR="00250BCB" w:rsidRPr="00277BEC" w:rsidRDefault="00250BCB" w:rsidP="00B0501D">
      <w:pPr>
        <w:pStyle w:val="BodyText"/>
        <w:jc w:val="left"/>
        <w:rPr>
          <w:rFonts w:ascii="Arial" w:hAnsi="Arial" w:cs="Arial"/>
        </w:rPr>
      </w:pPr>
      <w:r w:rsidRPr="00277BEC">
        <w:rPr>
          <w:rFonts w:ascii="Arial" w:hAnsi="Arial" w:cs="Arial"/>
        </w:rPr>
        <w:t xml:space="preserve">Table 9 shows the distributions on the numeracy steps, of students in the school sample who attained the numeracy requirement for NCEA by each of the three pathways; that is, under the old rules, under the new rules using the unit standard pathway, and under the new rules using the achievement standard pathway. Note that these three pathways are not mutually </w:t>
      </w:r>
      <w:proofErr w:type="gramStart"/>
      <w:r w:rsidRPr="00277BEC">
        <w:rPr>
          <w:rFonts w:ascii="Arial" w:hAnsi="Arial" w:cs="Arial"/>
        </w:rPr>
        <w:t>exclusive,</w:t>
      </w:r>
      <w:proofErr w:type="gramEnd"/>
      <w:r w:rsidRPr="00277BEC">
        <w:rPr>
          <w:rFonts w:ascii="Arial" w:hAnsi="Arial" w:cs="Arial"/>
        </w:rPr>
        <w:t xml:space="preserve"> and a substantial majority of students who met each of the numeracy and literacy requirements did so under both the old rules and the new achievement standard rules. </w:t>
      </w:r>
    </w:p>
    <w:p w14:paraId="544538FE" w14:textId="2A4EE1DF" w:rsidR="00250BCB" w:rsidRPr="00277BEC" w:rsidRDefault="00250BCB" w:rsidP="00B0501D">
      <w:pPr>
        <w:pStyle w:val="BodyText"/>
        <w:jc w:val="left"/>
        <w:rPr>
          <w:rFonts w:ascii="Arial" w:hAnsi="Arial" w:cs="Arial"/>
        </w:rPr>
      </w:pPr>
      <w:r w:rsidRPr="00277BEC">
        <w:rPr>
          <w:rFonts w:ascii="Arial" w:hAnsi="Arial" w:cs="Arial"/>
        </w:rPr>
        <w:t>The data in Table 9 show that the distribution on the numeracy steps of students who attained the numeracy requirement under the old rules is similar to the distribution of those who attained it under the new achievement standard rules. This similarity is unsurprising given the very substantial intersection of the sets of students attaining the requirement by each of these methods. However, the distribution for students who attained the numeracy requirement using the unit standard pathway is substantially lower, with 88.6</w:t>
      </w:r>
      <w:r w:rsidR="00B0501D">
        <w:rPr>
          <w:rFonts w:ascii="Arial" w:hAnsi="Arial" w:cs="Arial"/>
        </w:rPr>
        <w:t xml:space="preserve"> percent</w:t>
      </w:r>
      <w:r w:rsidRPr="00277BEC">
        <w:rPr>
          <w:rFonts w:ascii="Arial" w:hAnsi="Arial" w:cs="Arial"/>
        </w:rPr>
        <w:t xml:space="preserve"> of these students falling below </w:t>
      </w:r>
      <w:r w:rsidR="00B0501D">
        <w:rPr>
          <w:rFonts w:ascii="Arial" w:hAnsi="Arial" w:cs="Arial"/>
        </w:rPr>
        <w:t>S</w:t>
      </w:r>
      <w:r w:rsidRPr="00277BEC">
        <w:rPr>
          <w:rFonts w:ascii="Arial" w:hAnsi="Arial" w:cs="Arial"/>
        </w:rPr>
        <w:t xml:space="preserve">tep 5, which is the numeracy </w:t>
      </w:r>
      <w:r w:rsidRPr="00277BEC">
        <w:rPr>
          <w:rFonts w:ascii="Arial" w:hAnsi="Arial" w:cs="Arial"/>
        </w:rPr>
        <w:lastRenderedPageBreak/>
        <w:t>benchmark. While the (new) achievement standard pathway shows a higher distribution on the numeracy steps, 42.4</w:t>
      </w:r>
      <w:r w:rsidR="00B0501D">
        <w:rPr>
          <w:rFonts w:ascii="Arial" w:hAnsi="Arial" w:cs="Arial"/>
        </w:rPr>
        <w:t xml:space="preserve"> percent</w:t>
      </w:r>
      <w:r w:rsidRPr="00277BEC">
        <w:rPr>
          <w:rFonts w:ascii="Arial" w:hAnsi="Arial" w:cs="Arial"/>
        </w:rPr>
        <w:t xml:space="preserve"> of students who attained the requirement by this pathway were nonetheless below numeracy </w:t>
      </w:r>
      <w:r w:rsidR="00B0501D">
        <w:rPr>
          <w:rFonts w:ascii="Arial" w:hAnsi="Arial" w:cs="Arial"/>
        </w:rPr>
        <w:t>S</w:t>
      </w:r>
      <w:r w:rsidRPr="00277BEC">
        <w:rPr>
          <w:rFonts w:ascii="Arial" w:hAnsi="Arial" w:cs="Arial"/>
        </w:rPr>
        <w:t>tep 5.</w:t>
      </w:r>
    </w:p>
    <w:p w14:paraId="7EA841CF" w14:textId="77777777" w:rsidR="00250BCB" w:rsidRPr="00277BEC" w:rsidRDefault="00250BCB" w:rsidP="00250BCB">
      <w:pPr>
        <w:pStyle w:val="Caption"/>
        <w:rPr>
          <w:rFonts w:cs="Arial"/>
        </w:rPr>
      </w:pPr>
      <w:bookmarkStart w:id="53" w:name="_Toc270604926"/>
      <w:r w:rsidRPr="00277BEC">
        <w:rPr>
          <w:rFonts w:cs="Arial"/>
          <w:b/>
        </w:rPr>
        <w:t xml:space="preserve">Table </w:t>
      </w:r>
      <w:r w:rsidRPr="00277BEC">
        <w:rPr>
          <w:rFonts w:cs="Arial"/>
          <w:b/>
        </w:rPr>
        <w:fldChar w:fldCharType="begin"/>
      </w:r>
      <w:r w:rsidRPr="00277BEC">
        <w:rPr>
          <w:rFonts w:cs="Arial"/>
          <w:b/>
        </w:rPr>
        <w:instrText xml:space="preserve"> SEQ Table \* ARABIC </w:instrText>
      </w:r>
      <w:r w:rsidRPr="00277BEC">
        <w:rPr>
          <w:rFonts w:cs="Arial"/>
          <w:b/>
        </w:rPr>
        <w:fldChar w:fldCharType="separate"/>
      </w:r>
      <w:r w:rsidR="00277BEC" w:rsidRPr="00277BEC">
        <w:rPr>
          <w:rFonts w:cs="Arial"/>
          <w:b/>
          <w:noProof/>
        </w:rPr>
        <w:t>9</w:t>
      </w:r>
      <w:r w:rsidRPr="00277BEC">
        <w:rPr>
          <w:rFonts w:cs="Arial"/>
          <w:b/>
        </w:rPr>
        <w:fldChar w:fldCharType="end"/>
      </w:r>
      <w:r w:rsidRPr="00277BEC">
        <w:rPr>
          <w:rFonts w:cs="Arial"/>
        </w:rPr>
        <w:t xml:space="preserve"> The percentage distribution on the numeracy steps of year 11 and 12 students from the school sample attaining the NCEA numeracy requirement under each set of rules.</w:t>
      </w:r>
      <w:bookmarkEnd w:id="53"/>
      <w:r w:rsidRPr="00277BEC">
        <w:rPr>
          <w:rFonts w:cs="Arial"/>
        </w:rPr>
        <w:t xml:space="preserve"> </w:t>
      </w:r>
    </w:p>
    <w:tbl>
      <w:tblPr>
        <w:tblW w:w="8505"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25"/>
        <w:gridCol w:w="2332"/>
        <w:gridCol w:w="2332"/>
        <w:gridCol w:w="2352"/>
      </w:tblGrid>
      <w:tr w:rsidR="00250BCB" w:rsidRPr="00277BEC" w14:paraId="61640AA1" w14:textId="77777777" w:rsidTr="00250BCB">
        <w:trPr>
          <w:trHeight w:val="900"/>
          <w:tblCellSpacing w:w="20" w:type="dxa"/>
        </w:trPr>
        <w:tc>
          <w:tcPr>
            <w:tcW w:w="1570" w:type="dxa"/>
            <w:shd w:val="clear" w:color="auto" w:fill="auto"/>
            <w:vAlign w:val="bottom"/>
            <w:hideMark/>
          </w:tcPr>
          <w:p w14:paraId="17F1A4BA" w14:textId="77777777" w:rsidR="00250BCB" w:rsidRPr="00277BEC" w:rsidRDefault="00250BCB" w:rsidP="00250BCB">
            <w:pPr>
              <w:pStyle w:val="Tabletext"/>
              <w:jc w:val="left"/>
              <w:rPr>
                <w:lang w:eastAsia="en-NZ"/>
              </w:rPr>
            </w:pPr>
            <w:r w:rsidRPr="00277BEC">
              <w:rPr>
                <w:lang w:eastAsia="en-NZ"/>
              </w:rPr>
              <w:t>Numeracy Step</w:t>
            </w:r>
          </w:p>
        </w:tc>
        <w:tc>
          <w:tcPr>
            <w:tcW w:w="2315" w:type="dxa"/>
            <w:shd w:val="clear" w:color="auto" w:fill="auto"/>
            <w:vAlign w:val="bottom"/>
            <w:hideMark/>
          </w:tcPr>
          <w:p w14:paraId="2C49373B" w14:textId="77777777" w:rsidR="00250BCB" w:rsidRPr="00277BEC" w:rsidRDefault="00250BCB" w:rsidP="00250BCB">
            <w:pPr>
              <w:pStyle w:val="Tabletext"/>
              <w:jc w:val="left"/>
              <w:rPr>
                <w:lang w:eastAsia="en-NZ"/>
              </w:rPr>
            </w:pPr>
            <w:r w:rsidRPr="00277BEC">
              <w:rPr>
                <w:lang w:eastAsia="en-NZ"/>
              </w:rPr>
              <w:t>Numeracy old rules</w:t>
            </w:r>
          </w:p>
        </w:tc>
        <w:tc>
          <w:tcPr>
            <w:tcW w:w="2315" w:type="dxa"/>
            <w:shd w:val="clear" w:color="auto" w:fill="auto"/>
            <w:vAlign w:val="bottom"/>
            <w:hideMark/>
          </w:tcPr>
          <w:p w14:paraId="0FD8AD1A" w14:textId="77777777" w:rsidR="00250BCB" w:rsidRPr="00277BEC" w:rsidRDefault="00250BCB" w:rsidP="00250BCB">
            <w:pPr>
              <w:pStyle w:val="Tabletext"/>
              <w:jc w:val="left"/>
              <w:rPr>
                <w:lang w:eastAsia="en-NZ"/>
              </w:rPr>
            </w:pPr>
            <w:r w:rsidRPr="00277BEC">
              <w:rPr>
                <w:lang w:eastAsia="en-NZ"/>
              </w:rPr>
              <w:t>Numeracy new rules (US)</w:t>
            </w:r>
          </w:p>
        </w:tc>
        <w:tc>
          <w:tcPr>
            <w:tcW w:w="2315" w:type="dxa"/>
            <w:shd w:val="clear" w:color="auto" w:fill="auto"/>
            <w:vAlign w:val="bottom"/>
            <w:hideMark/>
          </w:tcPr>
          <w:p w14:paraId="067569AF" w14:textId="77777777" w:rsidR="00250BCB" w:rsidRPr="00277BEC" w:rsidRDefault="00250BCB" w:rsidP="00250BCB">
            <w:pPr>
              <w:pStyle w:val="Tabletext"/>
              <w:jc w:val="left"/>
              <w:rPr>
                <w:lang w:eastAsia="en-NZ"/>
              </w:rPr>
            </w:pPr>
            <w:r w:rsidRPr="00277BEC">
              <w:rPr>
                <w:lang w:eastAsia="en-NZ"/>
              </w:rPr>
              <w:t>Numeracy new rules (AS)</w:t>
            </w:r>
          </w:p>
        </w:tc>
      </w:tr>
      <w:tr w:rsidR="00250BCB" w:rsidRPr="00277BEC" w14:paraId="168C574E" w14:textId="77777777" w:rsidTr="00250BCB">
        <w:trPr>
          <w:trHeight w:val="300"/>
          <w:tblCellSpacing w:w="20" w:type="dxa"/>
        </w:trPr>
        <w:tc>
          <w:tcPr>
            <w:tcW w:w="1570" w:type="dxa"/>
            <w:shd w:val="clear" w:color="auto" w:fill="auto"/>
            <w:noWrap/>
            <w:vAlign w:val="bottom"/>
            <w:hideMark/>
          </w:tcPr>
          <w:p w14:paraId="55F8BB32" w14:textId="77777777" w:rsidR="00250BCB" w:rsidRPr="00277BEC" w:rsidRDefault="00250BCB" w:rsidP="00250BCB">
            <w:pPr>
              <w:pStyle w:val="Tabletext"/>
              <w:rPr>
                <w:lang w:eastAsia="en-NZ"/>
              </w:rPr>
            </w:pPr>
            <w:r w:rsidRPr="00277BEC">
              <w:rPr>
                <w:lang w:eastAsia="en-NZ"/>
              </w:rPr>
              <w:t>1</w:t>
            </w:r>
          </w:p>
        </w:tc>
        <w:tc>
          <w:tcPr>
            <w:tcW w:w="2315" w:type="dxa"/>
            <w:shd w:val="clear" w:color="auto" w:fill="auto"/>
            <w:noWrap/>
            <w:vAlign w:val="bottom"/>
            <w:hideMark/>
          </w:tcPr>
          <w:p w14:paraId="42325EE8" w14:textId="77777777" w:rsidR="00250BCB" w:rsidRPr="00277BEC" w:rsidRDefault="00250BCB" w:rsidP="00250BCB">
            <w:pPr>
              <w:pStyle w:val="Tabletext"/>
              <w:rPr>
                <w:lang w:eastAsia="en-NZ"/>
              </w:rPr>
            </w:pPr>
            <w:r w:rsidRPr="00277BEC">
              <w:rPr>
                <w:lang w:eastAsia="en-NZ"/>
              </w:rPr>
              <w:t>2.6</w:t>
            </w:r>
          </w:p>
        </w:tc>
        <w:tc>
          <w:tcPr>
            <w:tcW w:w="2315" w:type="dxa"/>
            <w:shd w:val="clear" w:color="auto" w:fill="auto"/>
            <w:noWrap/>
            <w:vAlign w:val="bottom"/>
            <w:hideMark/>
          </w:tcPr>
          <w:p w14:paraId="216FB9C8" w14:textId="77777777" w:rsidR="00250BCB" w:rsidRPr="00277BEC" w:rsidRDefault="00250BCB" w:rsidP="00250BCB">
            <w:pPr>
              <w:pStyle w:val="Tabletext"/>
              <w:rPr>
                <w:lang w:eastAsia="en-NZ"/>
              </w:rPr>
            </w:pPr>
            <w:r w:rsidRPr="00277BEC">
              <w:rPr>
                <w:lang w:eastAsia="en-NZ"/>
              </w:rPr>
              <w:t>10.6</w:t>
            </w:r>
          </w:p>
        </w:tc>
        <w:tc>
          <w:tcPr>
            <w:tcW w:w="2315" w:type="dxa"/>
            <w:shd w:val="clear" w:color="auto" w:fill="auto"/>
            <w:noWrap/>
            <w:vAlign w:val="bottom"/>
            <w:hideMark/>
          </w:tcPr>
          <w:p w14:paraId="5636FCC8" w14:textId="77777777" w:rsidR="00250BCB" w:rsidRPr="00277BEC" w:rsidRDefault="00250BCB" w:rsidP="00250BCB">
            <w:pPr>
              <w:pStyle w:val="Tabletext"/>
              <w:rPr>
                <w:lang w:eastAsia="en-NZ"/>
              </w:rPr>
            </w:pPr>
            <w:r w:rsidRPr="00277BEC">
              <w:rPr>
                <w:lang w:eastAsia="en-NZ"/>
              </w:rPr>
              <w:t>2.4</w:t>
            </w:r>
          </w:p>
        </w:tc>
      </w:tr>
      <w:tr w:rsidR="00250BCB" w:rsidRPr="00277BEC" w14:paraId="25AD9D90" w14:textId="77777777" w:rsidTr="00250BCB">
        <w:trPr>
          <w:trHeight w:val="300"/>
          <w:tblCellSpacing w:w="20" w:type="dxa"/>
        </w:trPr>
        <w:tc>
          <w:tcPr>
            <w:tcW w:w="1570" w:type="dxa"/>
            <w:shd w:val="clear" w:color="auto" w:fill="auto"/>
            <w:noWrap/>
            <w:vAlign w:val="bottom"/>
            <w:hideMark/>
          </w:tcPr>
          <w:p w14:paraId="20FE0C3A" w14:textId="77777777" w:rsidR="00250BCB" w:rsidRPr="00277BEC" w:rsidRDefault="00250BCB" w:rsidP="00250BCB">
            <w:pPr>
              <w:pStyle w:val="Tabletext"/>
              <w:rPr>
                <w:lang w:eastAsia="en-NZ"/>
              </w:rPr>
            </w:pPr>
            <w:r w:rsidRPr="00277BEC">
              <w:rPr>
                <w:lang w:eastAsia="en-NZ"/>
              </w:rPr>
              <w:t>2</w:t>
            </w:r>
          </w:p>
        </w:tc>
        <w:tc>
          <w:tcPr>
            <w:tcW w:w="2315" w:type="dxa"/>
            <w:shd w:val="clear" w:color="auto" w:fill="auto"/>
            <w:noWrap/>
            <w:vAlign w:val="bottom"/>
            <w:hideMark/>
          </w:tcPr>
          <w:p w14:paraId="4D27CC16" w14:textId="77777777" w:rsidR="00250BCB" w:rsidRPr="00277BEC" w:rsidRDefault="00250BCB" w:rsidP="00250BCB">
            <w:pPr>
              <w:pStyle w:val="Tabletext"/>
              <w:rPr>
                <w:lang w:eastAsia="en-NZ"/>
              </w:rPr>
            </w:pPr>
            <w:r w:rsidRPr="00277BEC">
              <w:rPr>
                <w:lang w:eastAsia="en-NZ"/>
              </w:rPr>
              <w:t>5.9</w:t>
            </w:r>
          </w:p>
        </w:tc>
        <w:tc>
          <w:tcPr>
            <w:tcW w:w="2315" w:type="dxa"/>
            <w:shd w:val="clear" w:color="auto" w:fill="auto"/>
            <w:noWrap/>
            <w:vAlign w:val="bottom"/>
            <w:hideMark/>
          </w:tcPr>
          <w:p w14:paraId="0ACD389E" w14:textId="77777777" w:rsidR="00250BCB" w:rsidRPr="00277BEC" w:rsidRDefault="00250BCB" w:rsidP="00250BCB">
            <w:pPr>
              <w:pStyle w:val="Tabletext"/>
              <w:rPr>
                <w:lang w:eastAsia="en-NZ"/>
              </w:rPr>
            </w:pPr>
            <w:r w:rsidRPr="00277BEC">
              <w:rPr>
                <w:lang w:eastAsia="en-NZ"/>
              </w:rPr>
              <w:t>15.4</w:t>
            </w:r>
          </w:p>
        </w:tc>
        <w:tc>
          <w:tcPr>
            <w:tcW w:w="2315" w:type="dxa"/>
            <w:shd w:val="clear" w:color="auto" w:fill="auto"/>
            <w:noWrap/>
            <w:vAlign w:val="bottom"/>
            <w:hideMark/>
          </w:tcPr>
          <w:p w14:paraId="7E01C9F4" w14:textId="77777777" w:rsidR="00250BCB" w:rsidRPr="00277BEC" w:rsidRDefault="00250BCB" w:rsidP="00250BCB">
            <w:pPr>
              <w:pStyle w:val="Tabletext"/>
              <w:rPr>
                <w:lang w:eastAsia="en-NZ"/>
              </w:rPr>
            </w:pPr>
            <w:r w:rsidRPr="00277BEC">
              <w:rPr>
                <w:lang w:eastAsia="en-NZ"/>
              </w:rPr>
              <w:t>5.1</w:t>
            </w:r>
          </w:p>
        </w:tc>
      </w:tr>
      <w:tr w:rsidR="00250BCB" w:rsidRPr="00277BEC" w14:paraId="1853C7F3" w14:textId="77777777" w:rsidTr="00250BCB">
        <w:trPr>
          <w:trHeight w:val="300"/>
          <w:tblCellSpacing w:w="20" w:type="dxa"/>
        </w:trPr>
        <w:tc>
          <w:tcPr>
            <w:tcW w:w="1570" w:type="dxa"/>
            <w:shd w:val="clear" w:color="auto" w:fill="auto"/>
            <w:noWrap/>
            <w:vAlign w:val="bottom"/>
            <w:hideMark/>
          </w:tcPr>
          <w:p w14:paraId="108263F9" w14:textId="77777777" w:rsidR="00250BCB" w:rsidRPr="00277BEC" w:rsidRDefault="00250BCB" w:rsidP="00250BCB">
            <w:pPr>
              <w:pStyle w:val="Tabletext"/>
              <w:rPr>
                <w:lang w:eastAsia="en-NZ"/>
              </w:rPr>
            </w:pPr>
            <w:r w:rsidRPr="00277BEC">
              <w:rPr>
                <w:lang w:eastAsia="en-NZ"/>
              </w:rPr>
              <w:t>3</w:t>
            </w:r>
          </w:p>
        </w:tc>
        <w:tc>
          <w:tcPr>
            <w:tcW w:w="2315" w:type="dxa"/>
            <w:shd w:val="clear" w:color="auto" w:fill="auto"/>
            <w:noWrap/>
            <w:vAlign w:val="bottom"/>
            <w:hideMark/>
          </w:tcPr>
          <w:p w14:paraId="754205F2" w14:textId="77777777" w:rsidR="00250BCB" w:rsidRPr="00277BEC" w:rsidRDefault="00250BCB" w:rsidP="00250BCB">
            <w:pPr>
              <w:pStyle w:val="Tabletext"/>
              <w:rPr>
                <w:lang w:eastAsia="en-NZ"/>
              </w:rPr>
            </w:pPr>
            <w:r w:rsidRPr="00277BEC">
              <w:rPr>
                <w:lang w:eastAsia="en-NZ"/>
              </w:rPr>
              <w:t>10.0</w:t>
            </w:r>
          </w:p>
        </w:tc>
        <w:tc>
          <w:tcPr>
            <w:tcW w:w="2315" w:type="dxa"/>
            <w:shd w:val="clear" w:color="auto" w:fill="auto"/>
            <w:noWrap/>
            <w:vAlign w:val="bottom"/>
            <w:hideMark/>
          </w:tcPr>
          <w:p w14:paraId="00EB017D" w14:textId="77777777" w:rsidR="00250BCB" w:rsidRPr="00277BEC" w:rsidRDefault="00250BCB" w:rsidP="00250BCB">
            <w:pPr>
              <w:pStyle w:val="Tabletext"/>
              <w:rPr>
                <w:lang w:eastAsia="en-NZ"/>
              </w:rPr>
            </w:pPr>
            <w:r w:rsidRPr="00277BEC">
              <w:rPr>
                <w:lang w:eastAsia="en-NZ"/>
              </w:rPr>
              <w:t>25.2</w:t>
            </w:r>
          </w:p>
        </w:tc>
        <w:tc>
          <w:tcPr>
            <w:tcW w:w="2315" w:type="dxa"/>
            <w:shd w:val="clear" w:color="auto" w:fill="auto"/>
            <w:noWrap/>
            <w:vAlign w:val="bottom"/>
            <w:hideMark/>
          </w:tcPr>
          <w:p w14:paraId="52A4D387" w14:textId="77777777" w:rsidR="00250BCB" w:rsidRPr="00277BEC" w:rsidRDefault="00250BCB" w:rsidP="00250BCB">
            <w:pPr>
              <w:pStyle w:val="Tabletext"/>
              <w:rPr>
                <w:lang w:eastAsia="en-NZ"/>
              </w:rPr>
            </w:pPr>
            <w:r w:rsidRPr="00277BEC">
              <w:rPr>
                <w:lang w:eastAsia="en-NZ"/>
              </w:rPr>
              <w:t>9.4</w:t>
            </w:r>
          </w:p>
        </w:tc>
      </w:tr>
      <w:tr w:rsidR="00250BCB" w:rsidRPr="00277BEC" w14:paraId="74E7A89F" w14:textId="77777777" w:rsidTr="00250BCB">
        <w:trPr>
          <w:trHeight w:val="300"/>
          <w:tblCellSpacing w:w="20" w:type="dxa"/>
        </w:trPr>
        <w:tc>
          <w:tcPr>
            <w:tcW w:w="1570" w:type="dxa"/>
            <w:shd w:val="clear" w:color="auto" w:fill="auto"/>
            <w:noWrap/>
            <w:vAlign w:val="bottom"/>
            <w:hideMark/>
          </w:tcPr>
          <w:p w14:paraId="612A756A" w14:textId="77777777" w:rsidR="00250BCB" w:rsidRPr="00277BEC" w:rsidRDefault="00250BCB" w:rsidP="00250BCB">
            <w:pPr>
              <w:pStyle w:val="Tabletext"/>
              <w:rPr>
                <w:lang w:eastAsia="en-NZ"/>
              </w:rPr>
            </w:pPr>
            <w:r w:rsidRPr="00277BEC">
              <w:rPr>
                <w:lang w:eastAsia="en-NZ"/>
              </w:rPr>
              <w:t>4</w:t>
            </w:r>
          </w:p>
        </w:tc>
        <w:tc>
          <w:tcPr>
            <w:tcW w:w="2315" w:type="dxa"/>
            <w:shd w:val="clear" w:color="auto" w:fill="auto"/>
            <w:noWrap/>
            <w:vAlign w:val="bottom"/>
            <w:hideMark/>
          </w:tcPr>
          <w:p w14:paraId="34E74FEE" w14:textId="77777777" w:rsidR="00250BCB" w:rsidRPr="00277BEC" w:rsidRDefault="00250BCB" w:rsidP="00250BCB">
            <w:pPr>
              <w:pStyle w:val="Tabletext"/>
              <w:rPr>
                <w:lang w:eastAsia="en-NZ"/>
              </w:rPr>
            </w:pPr>
            <w:r w:rsidRPr="00277BEC">
              <w:rPr>
                <w:lang w:eastAsia="en-NZ"/>
              </w:rPr>
              <w:t>27.2</w:t>
            </w:r>
          </w:p>
        </w:tc>
        <w:tc>
          <w:tcPr>
            <w:tcW w:w="2315" w:type="dxa"/>
            <w:shd w:val="clear" w:color="auto" w:fill="auto"/>
            <w:noWrap/>
            <w:vAlign w:val="bottom"/>
            <w:hideMark/>
          </w:tcPr>
          <w:p w14:paraId="28F230EF" w14:textId="77777777" w:rsidR="00250BCB" w:rsidRPr="00277BEC" w:rsidRDefault="00250BCB" w:rsidP="00250BCB">
            <w:pPr>
              <w:pStyle w:val="Tabletext"/>
              <w:rPr>
                <w:lang w:eastAsia="en-NZ"/>
              </w:rPr>
            </w:pPr>
            <w:r w:rsidRPr="00277BEC">
              <w:rPr>
                <w:lang w:eastAsia="en-NZ"/>
              </w:rPr>
              <w:t>37.4</w:t>
            </w:r>
          </w:p>
        </w:tc>
        <w:tc>
          <w:tcPr>
            <w:tcW w:w="2315" w:type="dxa"/>
            <w:shd w:val="clear" w:color="auto" w:fill="auto"/>
            <w:noWrap/>
            <w:vAlign w:val="bottom"/>
            <w:hideMark/>
          </w:tcPr>
          <w:p w14:paraId="6E4C01A2" w14:textId="77777777" w:rsidR="00250BCB" w:rsidRPr="00277BEC" w:rsidRDefault="00250BCB" w:rsidP="00250BCB">
            <w:pPr>
              <w:pStyle w:val="Tabletext"/>
              <w:rPr>
                <w:lang w:eastAsia="en-NZ"/>
              </w:rPr>
            </w:pPr>
            <w:r w:rsidRPr="00277BEC">
              <w:rPr>
                <w:lang w:eastAsia="en-NZ"/>
              </w:rPr>
              <w:t>25.5</w:t>
            </w:r>
          </w:p>
        </w:tc>
      </w:tr>
      <w:tr w:rsidR="00250BCB" w:rsidRPr="00277BEC" w14:paraId="75BDC959" w14:textId="77777777" w:rsidTr="00250BCB">
        <w:trPr>
          <w:trHeight w:val="300"/>
          <w:tblCellSpacing w:w="20" w:type="dxa"/>
        </w:trPr>
        <w:tc>
          <w:tcPr>
            <w:tcW w:w="1570" w:type="dxa"/>
            <w:shd w:val="clear" w:color="auto" w:fill="auto"/>
            <w:noWrap/>
            <w:vAlign w:val="bottom"/>
            <w:hideMark/>
          </w:tcPr>
          <w:p w14:paraId="763CD6DE" w14:textId="77777777" w:rsidR="00250BCB" w:rsidRPr="00277BEC" w:rsidRDefault="00250BCB" w:rsidP="00250BCB">
            <w:pPr>
              <w:pStyle w:val="Tabletext"/>
              <w:rPr>
                <w:lang w:eastAsia="en-NZ"/>
              </w:rPr>
            </w:pPr>
            <w:r w:rsidRPr="00277BEC">
              <w:rPr>
                <w:lang w:eastAsia="en-NZ"/>
              </w:rPr>
              <w:t>5</w:t>
            </w:r>
          </w:p>
        </w:tc>
        <w:tc>
          <w:tcPr>
            <w:tcW w:w="2315" w:type="dxa"/>
            <w:shd w:val="clear" w:color="auto" w:fill="auto"/>
            <w:noWrap/>
            <w:vAlign w:val="bottom"/>
            <w:hideMark/>
          </w:tcPr>
          <w:p w14:paraId="170BED46" w14:textId="77777777" w:rsidR="00250BCB" w:rsidRPr="00277BEC" w:rsidRDefault="00250BCB" w:rsidP="00250BCB">
            <w:pPr>
              <w:pStyle w:val="Tabletext"/>
              <w:rPr>
                <w:lang w:eastAsia="en-NZ"/>
              </w:rPr>
            </w:pPr>
            <w:r w:rsidRPr="00277BEC">
              <w:rPr>
                <w:lang w:eastAsia="en-NZ"/>
              </w:rPr>
              <w:t>28.1</w:t>
            </w:r>
          </w:p>
        </w:tc>
        <w:tc>
          <w:tcPr>
            <w:tcW w:w="2315" w:type="dxa"/>
            <w:shd w:val="clear" w:color="auto" w:fill="auto"/>
            <w:noWrap/>
            <w:vAlign w:val="bottom"/>
            <w:hideMark/>
          </w:tcPr>
          <w:p w14:paraId="3F9A5C30" w14:textId="77777777" w:rsidR="00250BCB" w:rsidRPr="00277BEC" w:rsidRDefault="00250BCB" w:rsidP="00250BCB">
            <w:pPr>
              <w:pStyle w:val="Tabletext"/>
              <w:rPr>
                <w:lang w:eastAsia="en-NZ"/>
              </w:rPr>
            </w:pPr>
            <w:r w:rsidRPr="00277BEC">
              <w:rPr>
                <w:lang w:eastAsia="en-NZ"/>
              </w:rPr>
              <w:t>8.9</w:t>
            </w:r>
          </w:p>
        </w:tc>
        <w:tc>
          <w:tcPr>
            <w:tcW w:w="2315" w:type="dxa"/>
            <w:shd w:val="clear" w:color="auto" w:fill="auto"/>
            <w:noWrap/>
            <w:vAlign w:val="bottom"/>
            <w:hideMark/>
          </w:tcPr>
          <w:p w14:paraId="1FCF7B66" w14:textId="77777777" w:rsidR="00250BCB" w:rsidRPr="00277BEC" w:rsidRDefault="00250BCB" w:rsidP="00250BCB">
            <w:pPr>
              <w:pStyle w:val="Tabletext"/>
              <w:rPr>
                <w:lang w:eastAsia="en-NZ"/>
              </w:rPr>
            </w:pPr>
            <w:r w:rsidRPr="00277BEC">
              <w:rPr>
                <w:lang w:eastAsia="en-NZ"/>
              </w:rPr>
              <w:t>29.6</w:t>
            </w:r>
          </w:p>
        </w:tc>
      </w:tr>
      <w:tr w:rsidR="00250BCB" w:rsidRPr="00277BEC" w14:paraId="5557A6AC" w14:textId="77777777" w:rsidTr="00250BCB">
        <w:trPr>
          <w:trHeight w:val="300"/>
          <w:tblCellSpacing w:w="20" w:type="dxa"/>
        </w:trPr>
        <w:tc>
          <w:tcPr>
            <w:tcW w:w="1570" w:type="dxa"/>
            <w:shd w:val="clear" w:color="auto" w:fill="auto"/>
            <w:noWrap/>
            <w:vAlign w:val="bottom"/>
            <w:hideMark/>
          </w:tcPr>
          <w:p w14:paraId="0CE25E9C" w14:textId="77777777" w:rsidR="00250BCB" w:rsidRPr="00277BEC" w:rsidRDefault="00250BCB" w:rsidP="00250BCB">
            <w:pPr>
              <w:pStyle w:val="Tabletext"/>
              <w:rPr>
                <w:lang w:eastAsia="en-NZ"/>
              </w:rPr>
            </w:pPr>
            <w:r w:rsidRPr="00277BEC">
              <w:rPr>
                <w:lang w:eastAsia="en-NZ"/>
              </w:rPr>
              <w:t>6</w:t>
            </w:r>
          </w:p>
        </w:tc>
        <w:tc>
          <w:tcPr>
            <w:tcW w:w="2315" w:type="dxa"/>
            <w:shd w:val="clear" w:color="auto" w:fill="auto"/>
            <w:noWrap/>
            <w:vAlign w:val="bottom"/>
            <w:hideMark/>
          </w:tcPr>
          <w:p w14:paraId="63544323" w14:textId="77777777" w:rsidR="00250BCB" w:rsidRPr="00277BEC" w:rsidRDefault="00250BCB" w:rsidP="00250BCB">
            <w:pPr>
              <w:pStyle w:val="Tabletext"/>
              <w:rPr>
                <w:lang w:eastAsia="en-NZ"/>
              </w:rPr>
            </w:pPr>
            <w:r w:rsidRPr="00277BEC">
              <w:rPr>
                <w:lang w:eastAsia="en-NZ"/>
              </w:rPr>
              <w:t>26.2</w:t>
            </w:r>
          </w:p>
        </w:tc>
        <w:tc>
          <w:tcPr>
            <w:tcW w:w="2315" w:type="dxa"/>
            <w:shd w:val="clear" w:color="auto" w:fill="auto"/>
            <w:noWrap/>
            <w:vAlign w:val="bottom"/>
            <w:hideMark/>
          </w:tcPr>
          <w:p w14:paraId="32A085F5" w14:textId="77777777" w:rsidR="00250BCB" w:rsidRPr="00277BEC" w:rsidRDefault="00250BCB" w:rsidP="00250BCB">
            <w:pPr>
              <w:pStyle w:val="Tabletext"/>
              <w:rPr>
                <w:lang w:eastAsia="en-NZ"/>
              </w:rPr>
            </w:pPr>
            <w:r w:rsidRPr="00277BEC">
              <w:rPr>
                <w:lang w:eastAsia="en-NZ"/>
              </w:rPr>
              <w:t>2.4</w:t>
            </w:r>
          </w:p>
        </w:tc>
        <w:tc>
          <w:tcPr>
            <w:tcW w:w="2315" w:type="dxa"/>
            <w:shd w:val="clear" w:color="auto" w:fill="auto"/>
            <w:noWrap/>
            <w:vAlign w:val="bottom"/>
            <w:hideMark/>
          </w:tcPr>
          <w:p w14:paraId="533FE597" w14:textId="77777777" w:rsidR="00250BCB" w:rsidRPr="00277BEC" w:rsidRDefault="00250BCB" w:rsidP="00250BCB">
            <w:pPr>
              <w:pStyle w:val="Tabletext"/>
              <w:rPr>
                <w:lang w:eastAsia="en-NZ"/>
              </w:rPr>
            </w:pPr>
            <w:r w:rsidRPr="00277BEC">
              <w:rPr>
                <w:lang w:eastAsia="en-NZ"/>
              </w:rPr>
              <w:t>28.1</w:t>
            </w:r>
          </w:p>
        </w:tc>
      </w:tr>
      <w:tr w:rsidR="00250BCB" w:rsidRPr="00277BEC" w14:paraId="33D51E10" w14:textId="77777777" w:rsidTr="00250BCB">
        <w:trPr>
          <w:trHeight w:val="300"/>
          <w:tblCellSpacing w:w="20" w:type="dxa"/>
        </w:trPr>
        <w:tc>
          <w:tcPr>
            <w:tcW w:w="1570" w:type="dxa"/>
            <w:shd w:val="clear" w:color="auto" w:fill="auto"/>
            <w:noWrap/>
            <w:vAlign w:val="bottom"/>
            <w:hideMark/>
          </w:tcPr>
          <w:p w14:paraId="1EA20601" w14:textId="77777777" w:rsidR="00250BCB" w:rsidRPr="00277BEC" w:rsidRDefault="00250BCB" w:rsidP="00250BCB">
            <w:pPr>
              <w:pStyle w:val="Tabletext"/>
              <w:rPr>
                <w:b/>
                <w:i/>
                <w:iCs/>
                <w:lang w:eastAsia="en-NZ"/>
              </w:rPr>
            </w:pPr>
            <w:r w:rsidRPr="00277BEC">
              <w:rPr>
                <w:b/>
                <w:i/>
                <w:iCs/>
                <w:lang w:eastAsia="en-NZ"/>
              </w:rPr>
              <w:t>n</w:t>
            </w:r>
          </w:p>
        </w:tc>
        <w:tc>
          <w:tcPr>
            <w:tcW w:w="2315" w:type="dxa"/>
            <w:shd w:val="clear" w:color="auto" w:fill="auto"/>
            <w:noWrap/>
            <w:vAlign w:val="bottom"/>
            <w:hideMark/>
          </w:tcPr>
          <w:p w14:paraId="48CD0EF5" w14:textId="77777777" w:rsidR="00250BCB" w:rsidRPr="00277BEC" w:rsidRDefault="00250BCB" w:rsidP="00250BCB">
            <w:pPr>
              <w:pStyle w:val="Tabletext"/>
              <w:rPr>
                <w:lang w:eastAsia="en-NZ"/>
              </w:rPr>
            </w:pPr>
            <w:r w:rsidRPr="00277BEC">
              <w:rPr>
                <w:lang w:eastAsia="en-NZ"/>
              </w:rPr>
              <w:t>1,246</w:t>
            </w:r>
          </w:p>
        </w:tc>
        <w:tc>
          <w:tcPr>
            <w:tcW w:w="2315" w:type="dxa"/>
            <w:shd w:val="clear" w:color="auto" w:fill="auto"/>
            <w:noWrap/>
            <w:vAlign w:val="bottom"/>
            <w:hideMark/>
          </w:tcPr>
          <w:p w14:paraId="7DC3A87D" w14:textId="77777777" w:rsidR="00250BCB" w:rsidRPr="00277BEC" w:rsidRDefault="00250BCB" w:rsidP="00250BCB">
            <w:pPr>
              <w:pStyle w:val="Tabletext"/>
              <w:rPr>
                <w:lang w:eastAsia="en-NZ"/>
              </w:rPr>
            </w:pPr>
            <w:r w:rsidRPr="00277BEC">
              <w:rPr>
                <w:lang w:eastAsia="en-NZ"/>
              </w:rPr>
              <w:t>123</w:t>
            </w:r>
          </w:p>
        </w:tc>
        <w:tc>
          <w:tcPr>
            <w:tcW w:w="2315" w:type="dxa"/>
            <w:shd w:val="clear" w:color="auto" w:fill="auto"/>
            <w:noWrap/>
            <w:vAlign w:val="bottom"/>
            <w:hideMark/>
          </w:tcPr>
          <w:p w14:paraId="5623BB4B" w14:textId="77777777" w:rsidR="00250BCB" w:rsidRPr="00277BEC" w:rsidRDefault="00250BCB" w:rsidP="00250BCB">
            <w:pPr>
              <w:pStyle w:val="Tabletext"/>
              <w:rPr>
                <w:lang w:eastAsia="en-NZ"/>
              </w:rPr>
            </w:pPr>
            <w:r w:rsidRPr="00277BEC">
              <w:rPr>
                <w:lang w:eastAsia="en-NZ"/>
              </w:rPr>
              <w:t>1,144</w:t>
            </w:r>
          </w:p>
        </w:tc>
      </w:tr>
    </w:tbl>
    <w:p w14:paraId="11EF2248" w14:textId="77777777" w:rsidR="00250BCB" w:rsidRPr="00277BEC" w:rsidRDefault="00250BCB" w:rsidP="00B0501D">
      <w:pPr>
        <w:pStyle w:val="BodyText"/>
        <w:spacing w:before="120"/>
        <w:jc w:val="left"/>
        <w:rPr>
          <w:rFonts w:ascii="Arial" w:hAnsi="Arial" w:cs="Arial"/>
        </w:rPr>
      </w:pPr>
      <w:r w:rsidRPr="00277BEC">
        <w:rPr>
          <w:rFonts w:ascii="Arial" w:hAnsi="Arial" w:cs="Arial"/>
        </w:rPr>
        <w:t>Table 10 complements Table 9, showing the distributions on the reading steps of students who attained the literacy requirement by each of the three pathways. Again, the distributions for students attaining the requirement under the old rules is very similar to that of students attaining it by the new achievement standard pathway, and again, this is unsurprising in respect of the fact that most students who attained the requirement by one of these pathways also attained it by the other.</w:t>
      </w:r>
    </w:p>
    <w:p w14:paraId="1E02EF29" w14:textId="1FEF8BC9" w:rsidR="00E14253" w:rsidRPr="00277BEC" w:rsidRDefault="00250BCB" w:rsidP="00B0501D">
      <w:pPr>
        <w:pStyle w:val="BodyText"/>
        <w:jc w:val="left"/>
        <w:rPr>
          <w:rFonts w:ascii="Arial" w:hAnsi="Arial" w:cs="Arial"/>
        </w:rPr>
      </w:pPr>
      <w:r w:rsidRPr="00277BEC">
        <w:rPr>
          <w:rFonts w:ascii="Arial" w:hAnsi="Arial" w:cs="Arial"/>
        </w:rPr>
        <w:t>Like the numeracy distributions in Table 9, the distribution of students that attain the literacy requirement by the unit standard pathway is concerning; some 92.9</w:t>
      </w:r>
      <w:r w:rsidR="00B0501D">
        <w:rPr>
          <w:rFonts w:ascii="Arial" w:hAnsi="Arial" w:cs="Arial"/>
        </w:rPr>
        <w:t>percent</w:t>
      </w:r>
      <w:r w:rsidRPr="00277BEC">
        <w:rPr>
          <w:rFonts w:ascii="Arial" w:hAnsi="Arial" w:cs="Arial"/>
        </w:rPr>
        <w:t xml:space="preserve"> of these students are below reading </w:t>
      </w:r>
      <w:r w:rsidR="00B0501D">
        <w:rPr>
          <w:rFonts w:ascii="Arial" w:hAnsi="Arial" w:cs="Arial"/>
        </w:rPr>
        <w:t>S</w:t>
      </w:r>
      <w:r w:rsidRPr="00277BEC">
        <w:rPr>
          <w:rFonts w:ascii="Arial" w:hAnsi="Arial" w:cs="Arial"/>
        </w:rPr>
        <w:t xml:space="preserve">tep 4. Notwithstanding the small number of students in the sample who attained the requirement by this pathway, these findings suggest that the level of literacy certified by the unit standard pathway is below, and often well below, a functionally adult level. This is despite the fact that the new literacy unit standards are designed to be aligned to </w:t>
      </w:r>
      <w:r w:rsidR="00B0501D">
        <w:rPr>
          <w:rFonts w:ascii="Arial" w:hAnsi="Arial" w:cs="Arial"/>
        </w:rPr>
        <w:t>S</w:t>
      </w:r>
      <w:r w:rsidRPr="00277BEC">
        <w:rPr>
          <w:rFonts w:ascii="Arial" w:hAnsi="Arial" w:cs="Arial"/>
        </w:rPr>
        <w:t>tep 4 of the learning progressions. (The 95</w:t>
      </w:r>
      <w:r w:rsidR="00B0501D">
        <w:rPr>
          <w:rFonts w:ascii="Arial" w:hAnsi="Arial" w:cs="Arial"/>
        </w:rPr>
        <w:t xml:space="preserve"> percent</w:t>
      </w:r>
      <w:r w:rsidRPr="00277BEC">
        <w:rPr>
          <w:rFonts w:ascii="Arial" w:hAnsi="Arial" w:cs="Arial"/>
        </w:rPr>
        <w:t xml:space="preserve"> confidence interval for the 93</w:t>
      </w:r>
      <w:r w:rsidR="00B0501D">
        <w:rPr>
          <w:rFonts w:ascii="Arial" w:hAnsi="Arial" w:cs="Arial"/>
        </w:rPr>
        <w:t xml:space="preserve"> percent</w:t>
      </w:r>
      <w:r w:rsidRPr="00277BEC">
        <w:rPr>
          <w:rFonts w:ascii="Arial" w:hAnsi="Arial" w:cs="Arial"/>
        </w:rPr>
        <w:t xml:space="preserve"> estimate is</w:t>
      </w:r>
      <w:r w:rsidR="009E079E" w:rsidRPr="00277BEC">
        <w:rPr>
          <w:rFonts w:ascii="Arial" w:hAnsi="Arial" w:cs="Arial"/>
        </w:rPr>
        <w:t xml:space="preserve"> </w:t>
      </w:r>
      <w:r w:rsidRPr="00277BEC">
        <w:rPr>
          <w:rFonts w:ascii="Arial" w:hAnsi="Arial" w:cs="Arial"/>
        </w:rPr>
        <w:t>±5.5</w:t>
      </w:r>
      <w:r w:rsidR="00B0501D">
        <w:rPr>
          <w:rFonts w:ascii="Arial" w:hAnsi="Arial" w:cs="Arial"/>
        </w:rPr>
        <w:t> percent</w:t>
      </w:r>
      <w:r w:rsidRPr="00277BEC">
        <w:rPr>
          <w:rFonts w:ascii="Arial" w:hAnsi="Arial" w:cs="Arial"/>
        </w:rPr>
        <w:t>.) The 53.8</w:t>
      </w:r>
      <w:r w:rsidR="00B0501D">
        <w:rPr>
          <w:rFonts w:ascii="Arial" w:hAnsi="Arial" w:cs="Arial"/>
        </w:rPr>
        <w:t xml:space="preserve"> percent</w:t>
      </w:r>
      <w:r w:rsidR="00B0501D" w:rsidRPr="00277BEC">
        <w:rPr>
          <w:rFonts w:ascii="Arial" w:hAnsi="Arial" w:cs="Arial"/>
        </w:rPr>
        <w:t xml:space="preserve"> </w:t>
      </w:r>
      <w:r w:rsidRPr="00277BEC">
        <w:rPr>
          <w:rFonts w:ascii="Arial" w:hAnsi="Arial" w:cs="Arial"/>
        </w:rPr>
        <w:t xml:space="preserve">of students attaining the literacy requirement by the achievement standard pathway who are below reading </w:t>
      </w:r>
      <w:r w:rsidR="00B0501D">
        <w:rPr>
          <w:rFonts w:ascii="Arial" w:hAnsi="Arial" w:cs="Arial"/>
        </w:rPr>
        <w:t>S</w:t>
      </w:r>
      <w:r w:rsidRPr="00277BEC">
        <w:rPr>
          <w:rFonts w:ascii="Arial" w:hAnsi="Arial" w:cs="Arial"/>
        </w:rPr>
        <w:t>tep 4 is considerably less than the 92.9</w:t>
      </w:r>
      <w:r w:rsidR="00B0501D">
        <w:rPr>
          <w:rFonts w:ascii="Arial" w:hAnsi="Arial" w:cs="Arial"/>
        </w:rPr>
        <w:t> percent</w:t>
      </w:r>
      <w:r w:rsidRPr="00277BEC">
        <w:rPr>
          <w:rFonts w:ascii="Arial" w:hAnsi="Arial" w:cs="Arial"/>
        </w:rPr>
        <w:t xml:space="preserve"> associated with the unit standard pathway, but is nonetheless concerning. These results suggest that the literacy level certified by achievement standards is not a reliable indicator of a student’s literacy competencies.</w:t>
      </w:r>
    </w:p>
    <w:p w14:paraId="1721C998" w14:textId="77777777" w:rsidR="00E14253" w:rsidRPr="00277BEC" w:rsidRDefault="00E14253">
      <w:pPr>
        <w:spacing w:after="0" w:line="240" w:lineRule="auto"/>
        <w:jc w:val="left"/>
        <w:rPr>
          <w:rFonts w:ascii="Arial" w:eastAsia="Times" w:hAnsi="Arial" w:cs="Arial"/>
          <w:szCs w:val="20"/>
        </w:rPr>
      </w:pPr>
      <w:r w:rsidRPr="00277BEC">
        <w:rPr>
          <w:rFonts w:ascii="Arial" w:hAnsi="Arial" w:cs="Arial"/>
        </w:rPr>
        <w:br w:type="page"/>
      </w:r>
    </w:p>
    <w:p w14:paraId="719DCAEA" w14:textId="77777777" w:rsidR="00250BCB" w:rsidRPr="00277BEC" w:rsidRDefault="00250BCB" w:rsidP="00B0501D">
      <w:pPr>
        <w:pStyle w:val="Caption"/>
        <w:jc w:val="left"/>
        <w:rPr>
          <w:rFonts w:cs="Arial"/>
        </w:rPr>
      </w:pPr>
      <w:bookmarkStart w:id="54" w:name="_Toc270604927"/>
      <w:r w:rsidRPr="00277BEC">
        <w:rPr>
          <w:rFonts w:cs="Arial"/>
          <w:b/>
        </w:rPr>
        <w:lastRenderedPageBreak/>
        <w:t xml:space="preserve">Table </w:t>
      </w:r>
      <w:r w:rsidRPr="00277BEC">
        <w:rPr>
          <w:rFonts w:cs="Arial"/>
          <w:b/>
        </w:rPr>
        <w:fldChar w:fldCharType="begin"/>
      </w:r>
      <w:r w:rsidRPr="00277BEC">
        <w:rPr>
          <w:rFonts w:cs="Arial"/>
          <w:b/>
        </w:rPr>
        <w:instrText xml:space="preserve"> SEQ Table \* ARABIC </w:instrText>
      </w:r>
      <w:r w:rsidRPr="00277BEC">
        <w:rPr>
          <w:rFonts w:cs="Arial"/>
          <w:b/>
        </w:rPr>
        <w:fldChar w:fldCharType="separate"/>
      </w:r>
      <w:r w:rsidR="00277BEC" w:rsidRPr="00277BEC">
        <w:rPr>
          <w:rFonts w:cs="Arial"/>
          <w:b/>
          <w:noProof/>
        </w:rPr>
        <w:t>10</w:t>
      </w:r>
      <w:r w:rsidRPr="00277BEC">
        <w:rPr>
          <w:rFonts w:cs="Arial"/>
          <w:b/>
        </w:rPr>
        <w:fldChar w:fldCharType="end"/>
      </w:r>
      <w:r w:rsidRPr="00277BEC">
        <w:rPr>
          <w:rFonts w:cs="Arial"/>
        </w:rPr>
        <w:t xml:space="preserve"> The percentage distribution on the reading steps of year 11 and 12 students from the school sample attaining the NCEA literacy requirement under each set of rules.</w:t>
      </w:r>
      <w:bookmarkEnd w:id="54"/>
      <w:r w:rsidRPr="00277BEC">
        <w:rPr>
          <w:rFonts w:cs="Arial"/>
        </w:rPr>
        <w:t xml:space="preserve"> </w:t>
      </w:r>
    </w:p>
    <w:tbl>
      <w:tblPr>
        <w:tblW w:w="8505"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723"/>
        <w:gridCol w:w="2254"/>
        <w:gridCol w:w="2254"/>
        <w:gridCol w:w="2274"/>
      </w:tblGrid>
      <w:tr w:rsidR="00250BCB" w:rsidRPr="00277BEC" w14:paraId="0337CEC6" w14:textId="77777777" w:rsidTr="00250BCB">
        <w:trPr>
          <w:trHeight w:val="600"/>
          <w:tblCellSpacing w:w="20" w:type="dxa"/>
        </w:trPr>
        <w:tc>
          <w:tcPr>
            <w:tcW w:w="1060" w:type="dxa"/>
            <w:shd w:val="clear" w:color="auto" w:fill="auto"/>
            <w:vAlign w:val="bottom"/>
            <w:hideMark/>
          </w:tcPr>
          <w:p w14:paraId="4D7E56BD" w14:textId="77777777" w:rsidR="00250BCB" w:rsidRPr="00277BEC" w:rsidRDefault="00250BCB" w:rsidP="00250BCB">
            <w:pPr>
              <w:pStyle w:val="Tabletext"/>
              <w:jc w:val="left"/>
              <w:rPr>
                <w:lang w:eastAsia="en-NZ"/>
              </w:rPr>
            </w:pPr>
            <w:r w:rsidRPr="00277BEC">
              <w:rPr>
                <w:lang w:eastAsia="en-NZ"/>
              </w:rPr>
              <w:t>Reading Step</w:t>
            </w:r>
          </w:p>
        </w:tc>
        <w:tc>
          <w:tcPr>
            <w:tcW w:w="1420" w:type="dxa"/>
            <w:shd w:val="clear" w:color="auto" w:fill="auto"/>
            <w:vAlign w:val="bottom"/>
            <w:hideMark/>
          </w:tcPr>
          <w:p w14:paraId="02D26183" w14:textId="77777777" w:rsidR="00250BCB" w:rsidRPr="00277BEC" w:rsidRDefault="00250BCB" w:rsidP="00250BCB">
            <w:pPr>
              <w:pStyle w:val="Tabletext"/>
              <w:jc w:val="left"/>
              <w:rPr>
                <w:lang w:eastAsia="en-NZ"/>
              </w:rPr>
            </w:pPr>
            <w:r w:rsidRPr="00277BEC">
              <w:rPr>
                <w:lang w:eastAsia="en-NZ"/>
              </w:rPr>
              <w:t>Literacy old rules</w:t>
            </w:r>
          </w:p>
        </w:tc>
        <w:tc>
          <w:tcPr>
            <w:tcW w:w="1420" w:type="dxa"/>
            <w:shd w:val="clear" w:color="auto" w:fill="auto"/>
            <w:vAlign w:val="bottom"/>
            <w:hideMark/>
          </w:tcPr>
          <w:p w14:paraId="5BF391B1" w14:textId="77777777" w:rsidR="00250BCB" w:rsidRPr="00277BEC" w:rsidRDefault="00250BCB" w:rsidP="00250BCB">
            <w:pPr>
              <w:pStyle w:val="Tabletext"/>
              <w:jc w:val="left"/>
              <w:rPr>
                <w:lang w:eastAsia="en-NZ"/>
              </w:rPr>
            </w:pPr>
            <w:r w:rsidRPr="00277BEC">
              <w:rPr>
                <w:lang w:eastAsia="en-NZ"/>
              </w:rPr>
              <w:t>Literacy new rules (US)</w:t>
            </w:r>
          </w:p>
        </w:tc>
        <w:tc>
          <w:tcPr>
            <w:tcW w:w="1420" w:type="dxa"/>
            <w:shd w:val="clear" w:color="auto" w:fill="auto"/>
            <w:vAlign w:val="bottom"/>
            <w:hideMark/>
          </w:tcPr>
          <w:p w14:paraId="2A290880" w14:textId="77777777" w:rsidR="00250BCB" w:rsidRPr="00277BEC" w:rsidRDefault="00250BCB" w:rsidP="00250BCB">
            <w:pPr>
              <w:pStyle w:val="Tabletext"/>
              <w:jc w:val="left"/>
              <w:rPr>
                <w:lang w:eastAsia="en-NZ"/>
              </w:rPr>
            </w:pPr>
            <w:r w:rsidRPr="00277BEC">
              <w:rPr>
                <w:lang w:eastAsia="en-NZ"/>
              </w:rPr>
              <w:t>Literacy new rules (AS)</w:t>
            </w:r>
          </w:p>
        </w:tc>
      </w:tr>
      <w:tr w:rsidR="00250BCB" w:rsidRPr="00277BEC" w14:paraId="6A433FE5" w14:textId="77777777" w:rsidTr="00250BCB">
        <w:trPr>
          <w:trHeight w:val="300"/>
          <w:tblCellSpacing w:w="20" w:type="dxa"/>
        </w:trPr>
        <w:tc>
          <w:tcPr>
            <w:tcW w:w="1060" w:type="dxa"/>
            <w:shd w:val="clear" w:color="auto" w:fill="auto"/>
            <w:noWrap/>
            <w:vAlign w:val="bottom"/>
            <w:hideMark/>
          </w:tcPr>
          <w:p w14:paraId="0F044538" w14:textId="77777777" w:rsidR="00250BCB" w:rsidRPr="00277BEC" w:rsidRDefault="00250BCB" w:rsidP="00250BCB">
            <w:pPr>
              <w:pStyle w:val="Tabletext"/>
              <w:rPr>
                <w:lang w:eastAsia="en-NZ"/>
              </w:rPr>
            </w:pPr>
            <w:r w:rsidRPr="00277BEC">
              <w:rPr>
                <w:lang w:eastAsia="en-NZ"/>
              </w:rPr>
              <w:t>1</w:t>
            </w:r>
          </w:p>
        </w:tc>
        <w:tc>
          <w:tcPr>
            <w:tcW w:w="1420" w:type="dxa"/>
            <w:shd w:val="clear" w:color="auto" w:fill="auto"/>
            <w:noWrap/>
            <w:vAlign w:val="bottom"/>
            <w:hideMark/>
          </w:tcPr>
          <w:p w14:paraId="31E02D2B" w14:textId="77777777" w:rsidR="00250BCB" w:rsidRPr="00277BEC" w:rsidRDefault="00250BCB" w:rsidP="00250BCB">
            <w:pPr>
              <w:pStyle w:val="Tabletext"/>
              <w:rPr>
                <w:lang w:eastAsia="en-NZ"/>
              </w:rPr>
            </w:pPr>
            <w:r w:rsidRPr="00277BEC">
              <w:rPr>
                <w:lang w:eastAsia="en-NZ"/>
              </w:rPr>
              <w:t>2.2</w:t>
            </w:r>
          </w:p>
        </w:tc>
        <w:tc>
          <w:tcPr>
            <w:tcW w:w="1420" w:type="dxa"/>
            <w:shd w:val="clear" w:color="auto" w:fill="auto"/>
            <w:noWrap/>
            <w:vAlign w:val="bottom"/>
            <w:hideMark/>
          </w:tcPr>
          <w:p w14:paraId="0031A178" w14:textId="77777777" w:rsidR="00250BCB" w:rsidRPr="00277BEC" w:rsidRDefault="00250BCB" w:rsidP="00250BCB">
            <w:pPr>
              <w:pStyle w:val="Tabletext"/>
              <w:rPr>
                <w:lang w:eastAsia="en-NZ"/>
              </w:rPr>
            </w:pPr>
            <w:r w:rsidRPr="00277BEC">
              <w:rPr>
                <w:lang w:eastAsia="en-NZ"/>
              </w:rPr>
              <w:t>12.9</w:t>
            </w:r>
          </w:p>
        </w:tc>
        <w:tc>
          <w:tcPr>
            <w:tcW w:w="1420" w:type="dxa"/>
            <w:shd w:val="clear" w:color="auto" w:fill="auto"/>
            <w:noWrap/>
            <w:vAlign w:val="bottom"/>
            <w:hideMark/>
          </w:tcPr>
          <w:p w14:paraId="0B0C19B7" w14:textId="77777777" w:rsidR="00250BCB" w:rsidRPr="00277BEC" w:rsidRDefault="00250BCB" w:rsidP="00250BCB">
            <w:pPr>
              <w:pStyle w:val="Tabletext"/>
              <w:rPr>
                <w:lang w:eastAsia="en-NZ"/>
              </w:rPr>
            </w:pPr>
            <w:r w:rsidRPr="00277BEC">
              <w:rPr>
                <w:lang w:eastAsia="en-NZ"/>
              </w:rPr>
              <w:t>2.8</w:t>
            </w:r>
          </w:p>
        </w:tc>
      </w:tr>
      <w:tr w:rsidR="00250BCB" w:rsidRPr="00277BEC" w14:paraId="3CE0DE03" w14:textId="77777777" w:rsidTr="00250BCB">
        <w:trPr>
          <w:trHeight w:val="300"/>
          <w:tblCellSpacing w:w="20" w:type="dxa"/>
        </w:trPr>
        <w:tc>
          <w:tcPr>
            <w:tcW w:w="1060" w:type="dxa"/>
            <w:shd w:val="clear" w:color="auto" w:fill="auto"/>
            <w:noWrap/>
            <w:vAlign w:val="bottom"/>
            <w:hideMark/>
          </w:tcPr>
          <w:p w14:paraId="30F7282C" w14:textId="77777777" w:rsidR="00250BCB" w:rsidRPr="00277BEC" w:rsidRDefault="00250BCB" w:rsidP="00250BCB">
            <w:pPr>
              <w:pStyle w:val="Tabletext"/>
              <w:rPr>
                <w:lang w:eastAsia="en-NZ"/>
              </w:rPr>
            </w:pPr>
            <w:r w:rsidRPr="00277BEC">
              <w:rPr>
                <w:lang w:eastAsia="en-NZ"/>
              </w:rPr>
              <w:t>2</w:t>
            </w:r>
          </w:p>
        </w:tc>
        <w:tc>
          <w:tcPr>
            <w:tcW w:w="1420" w:type="dxa"/>
            <w:shd w:val="clear" w:color="auto" w:fill="auto"/>
            <w:noWrap/>
            <w:vAlign w:val="bottom"/>
            <w:hideMark/>
          </w:tcPr>
          <w:p w14:paraId="14CCF16F" w14:textId="77777777" w:rsidR="00250BCB" w:rsidRPr="00277BEC" w:rsidRDefault="00250BCB" w:rsidP="00250BCB">
            <w:pPr>
              <w:pStyle w:val="Tabletext"/>
              <w:rPr>
                <w:lang w:eastAsia="en-NZ"/>
              </w:rPr>
            </w:pPr>
            <w:r w:rsidRPr="00277BEC">
              <w:rPr>
                <w:lang w:eastAsia="en-NZ"/>
              </w:rPr>
              <w:t>9.9</w:t>
            </w:r>
          </w:p>
        </w:tc>
        <w:tc>
          <w:tcPr>
            <w:tcW w:w="1420" w:type="dxa"/>
            <w:shd w:val="clear" w:color="auto" w:fill="auto"/>
            <w:noWrap/>
            <w:vAlign w:val="bottom"/>
            <w:hideMark/>
          </w:tcPr>
          <w:p w14:paraId="1556F3D0" w14:textId="77777777" w:rsidR="00250BCB" w:rsidRPr="00277BEC" w:rsidRDefault="00250BCB" w:rsidP="00250BCB">
            <w:pPr>
              <w:pStyle w:val="Tabletext"/>
              <w:rPr>
                <w:lang w:eastAsia="en-NZ"/>
              </w:rPr>
            </w:pPr>
            <w:r w:rsidRPr="00277BEC">
              <w:rPr>
                <w:lang w:eastAsia="en-NZ"/>
              </w:rPr>
              <w:t>40.0</w:t>
            </w:r>
          </w:p>
        </w:tc>
        <w:tc>
          <w:tcPr>
            <w:tcW w:w="1420" w:type="dxa"/>
            <w:shd w:val="clear" w:color="auto" w:fill="auto"/>
            <w:noWrap/>
            <w:vAlign w:val="bottom"/>
            <w:hideMark/>
          </w:tcPr>
          <w:p w14:paraId="43D426CA" w14:textId="77777777" w:rsidR="00250BCB" w:rsidRPr="00277BEC" w:rsidRDefault="00250BCB" w:rsidP="00250BCB">
            <w:pPr>
              <w:pStyle w:val="Tabletext"/>
              <w:rPr>
                <w:lang w:eastAsia="en-NZ"/>
              </w:rPr>
            </w:pPr>
            <w:r w:rsidRPr="00277BEC">
              <w:rPr>
                <w:lang w:eastAsia="en-NZ"/>
              </w:rPr>
              <w:t>13.5</w:t>
            </w:r>
          </w:p>
        </w:tc>
      </w:tr>
      <w:tr w:rsidR="00250BCB" w:rsidRPr="00277BEC" w14:paraId="347460C5" w14:textId="77777777" w:rsidTr="00250BCB">
        <w:trPr>
          <w:trHeight w:val="300"/>
          <w:tblCellSpacing w:w="20" w:type="dxa"/>
        </w:trPr>
        <w:tc>
          <w:tcPr>
            <w:tcW w:w="1060" w:type="dxa"/>
            <w:shd w:val="clear" w:color="auto" w:fill="auto"/>
            <w:noWrap/>
            <w:vAlign w:val="bottom"/>
            <w:hideMark/>
          </w:tcPr>
          <w:p w14:paraId="19B1EFA2" w14:textId="77777777" w:rsidR="00250BCB" w:rsidRPr="00277BEC" w:rsidRDefault="00250BCB" w:rsidP="00250BCB">
            <w:pPr>
              <w:pStyle w:val="Tabletext"/>
              <w:rPr>
                <w:lang w:eastAsia="en-NZ"/>
              </w:rPr>
            </w:pPr>
            <w:r w:rsidRPr="00277BEC">
              <w:rPr>
                <w:lang w:eastAsia="en-NZ"/>
              </w:rPr>
              <w:t>3</w:t>
            </w:r>
          </w:p>
        </w:tc>
        <w:tc>
          <w:tcPr>
            <w:tcW w:w="1420" w:type="dxa"/>
            <w:shd w:val="clear" w:color="auto" w:fill="auto"/>
            <w:noWrap/>
            <w:vAlign w:val="bottom"/>
            <w:hideMark/>
          </w:tcPr>
          <w:p w14:paraId="5A42EBD2" w14:textId="77777777" w:rsidR="00250BCB" w:rsidRPr="00277BEC" w:rsidRDefault="00250BCB" w:rsidP="00250BCB">
            <w:pPr>
              <w:pStyle w:val="Tabletext"/>
              <w:rPr>
                <w:lang w:eastAsia="en-NZ"/>
              </w:rPr>
            </w:pPr>
            <w:r w:rsidRPr="00277BEC">
              <w:rPr>
                <w:lang w:eastAsia="en-NZ"/>
              </w:rPr>
              <w:t>33.5</w:t>
            </w:r>
          </w:p>
        </w:tc>
        <w:tc>
          <w:tcPr>
            <w:tcW w:w="1420" w:type="dxa"/>
            <w:shd w:val="clear" w:color="auto" w:fill="auto"/>
            <w:noWrap/>
            <w:vAlign w:val="bottom"/>
            <w:hideMark/>
          </w:tcPr>
          <w:p w14:paraId="545DCC8D" w14:textId="77777777" w:rsidR="00250BCB" w:rsidRPr="00277BEC" w:rsidRDefault="00250BCB" w:rsidP="00250BCB">
            <w:pPr>
              <w:pStyle w:val="Tabletext"/>
              <w:rPr>
                <w:lang w:eastAsia="en-NZ"/>
              </w:rPr>
            </w:pPr>
            <w:r w:rsidRPr="00277BEC">
              <w:rPr>
                <w:lang w:eastAsia="en-NZ"/>
              </w:rPr>
              <w:t>40.0</w:t>
            </w:r>
          </w:p>
        </w:tc>
        <w:tc>
          <w:tcPr>
            <w:tcW w:w="1420" w:type="dxa"/>
            <w:shd w:val="clear" w:color="auto" w:fill="auto"/>
            <w:noWrap/>
            <w:vAlign w:val="bottom"/>
            <w:hideMark/>
          </w:tcPr>
          <w:p w14:paraId="2D7D2154" w14:textId="77777777" w:rsidR="00250BCB" w:rsidRPr="00277BEC" w:rsidRDefault="00250BCB" w:rsidP="00250BCB">
            <w:pPr>
              <w:pStyle w:val="Tabletext"/>
              <w:rPr>
                <w:lang w:eastAsia="en-NZ"/>
              </w:rPr>
            </w:pPr>
            <w:r w:rsidRPr="00277BEC">
              <w:rPr>
                <w:lang w:eastAsia="en-NZ"/>
              </w:rPr>
              <w:t>37.5</w:t>
            </w:r>
          </w:p>
        </w:tc>
      </w:tr>
      <w:tr w:rsidR="00250BCB" w:rsidRPr="00277BEC" w14:paraId="477B67BB" w14:textId="77777777" w:rsidTr="00250BCB">
        <w:trPr>
          <w:trHeight w:val="300"/>
          <w:tblCellSpacing w:w="20" w:type="dxa"/>
        </w:trPr>
        <w:tc>
          <w:tcPr>
            <w:tcW w:w="1060" w:type="dxa"/>
            <w:shd w:val="clear" w:color="auto" w:fill="auto"/>
            <w:noWrap/>
            <w:vAlign w:val="bottom"/>
            <w:hideMark/>
          </w:tcPr>
          <w:p w14:paraId="6FB12374" w14:textId="77777777" w:rsidR="00250BCB" w:rsidRPr="00277BEC" w:rsidRDefault="00250BCB" w:rsidP="00250BCB">
            <w:pPr>
              <w:pStyle w:val="Tabletext"/>
              <w:rPr>
                <w:lang w:eastAsia="en-NZ"/>
              </w:rPr>
            </w:pPr>
            <w:r w:rsidRPr="00277BEC">
              <w:rPr>
                <w:lang w:eastAsia="en-NZ"/>
              </w:rPr>
              <w:t>4</w:t>
            </w:r>
          </w:p>
        </w:tc>
        <w:tc>
          <w:tcPr>
            <w:tcW w:w="1420" w:type="dxa"/>
            <w:shd w:val="clear" w:color="auto" w:fill="auto"/>
            <w:noWrap/>
            <w:vAlign w:val="bottom"/>
            <w:hideMark/>
          </w:tcPr>
          <w:p w14:paraId="79AA1AB0" w14:textId="77777777" w:rsidR="00250BCB" w:rsidRPr="00277BEC" w:rsidRDefault="00250BCB" w:rsidP="00250BCB">
            <w:pPr>
              <w:pStyle w:val="Tabletext"/>
              <w:rPr>
                <w:lang w:eastAsia="en-NZ"/>
              </w:rPr>
            </w:pPr>
            <w:r w:rsidRPr="00277BEC">
              <w:rPr>
                <w:lang w:eastAsia="en-NZ"/>
              </w:rPr>
              <w:t>36.1</w:t>
            </w:r>
          </w:p>
        </w:tc>
        <w:tc>
          <w:tcPr>
            <w:tcW w:w="1420" w:type="dxa"/>
            <w:shd w:val="clear" w:color="auto" w:fill="auto"/>
            <w:noWrap/>
            <w:vAlign w:val="bottom"/>
            <w:hideMark/>
          </w:tcPr>
          <w:p w14:paraId="0DCED464" w14:textId="77777777" w:rsidR="00250BCB" w:rsidRPr="00277BEC" w:rsidRDefault="00250BCB" w:rsidP="00250BCB">
            <w:pPr>
              <w:pStyle w:val="Tabletext"/>
              <w:rPr>
                <w:lang w:eastAsia="en-NZ"/>
              </w:rPr>
            </w:pPr>
            <w:r w:rsidRPr="00277BEC">
              <w:rPr>
                <w:lang w:eastAsia="en-NZ"/>
              </w:rPr>
              <w:t>7.1</w:t>
            </w:r>
          </w:p>
        </w:tc>
        <w:tc>
          <w:tcPr>
            <w:tcW w:w="1420" w:type="dxa"/>
            <w:shd w:val="clear" w:color="auto" w:fill="auto"/>
            <w:noWrap/>
            <w:vAlign w:val="bottom"/>
            <w:hideMark/>
          </w:tcPr>
          <w:p w14:paraId="52B6BCF2" w14:textId="77777777" w:rsidR="00250BCB" w:rsidRPr="00277BEC" w:rsidRDefault="00250BCB" w:rsidP="00250BCB">
            <w:pPr>
              <w:pStyle w:val="Tabletext"/>
              <w:rPr>
                <w:lang w:eastAsia="en-NZ"/>
              </w:rPr>
            </w:pPr>
            <w:r w:rsidRPr="00277BEC">
              <w:rPr>
                <w:lang w:eastAsia="en-NZ"/>
              </w:rPr>
              <w:t>32.3</w:t>
            </w:r>
          </w:p>
        </w:tc>
      </w:tr>
      <w:tr w:rsidR="00250BCB" w:rsidRPr="00277BEC" w14:paraId="6BAB8A35" w14:textId="77777777" w:rsidTr="00250BCB">
        <w:trPr>
          <w:trHeight w:val="300"/>
          <w:tblCellSpacing w:w="20" w:type="dxa"/>
        </w:trPr>
        <w:tc>
          <w:tcPr>
            <w:tcW w:w="1060" w:type="dxa"/>
            <w:shd w:val="clear" w:color="auto" w:fill="auto"/>
            <w:noWrap/>
            <w:vAlign w:val="bottom"/>
            <w:hideMark/>
          </w:tcPr>
          <w:p w14:paraId="64474646" w14:textId="77777777" w:rsidR="00250BCB" w:rsidRPr="00277BEC" w:rsidRDefault="00250BCB" w:rsidP="00250BCB">
            <w:pPr>
              <w:pStyle w:val="Tabletext"/>
              <w:rPr>
                <w:lang w:eastAsia="en-NZ"/>
              </w:rPr>
            </w:pPr>
            <w:r w:rsidRPr="00277BEC">
              <w:rPr>
                <w:lang w:eastAsia="en-NZ"/>
              </w:rPr>
              <w:t>5</w:t>
            </w:r>
          </w:p>
        </w:tc>
        <w:tc>
          <w:tcPr>
            <w:tcW w:w="1420" w:type="dxa"/>
            <w:shd w:val="clear" w:color="auto" w:fill="auto"/>
            <w:noWrap/>
            <w:vAlign w:val="bottom"/>
            <w:hideMark/>
          </w:tcPr>
          <w:p w14:paraId="1D5FE75D" w14:textId="77777777" w:rsidR="00250BCB" w:rsidRPr="00277BEC" w:rsidRDefault="00250BCB" w:rsidP="00250BCB">
            <w:pPr>
              <w:pStyle w:val="Tabletext"/>
              <w:rPr>
                <w:lang w:eastAsia="en-NZ"/>
              </w:rPr>
            </w:pPr>
            <w:r w:rsidRPr="00277BEC">
              <w:rPr>
                <w:lang w:eastAsia="en-NZ"/>
              </w:rPr>
              <w:t>14.3</w:t>
            </w:r>
          </w:p>
        </w:tc>
        <w:tc>
          <w:tcPr>
            <w:tcW w:w="1420" w:type="dxa"/>
            <w:shd w:val="clear" w:color="auto" w:fill="auto"/>
            <w:noWrap/>
            <w:vAlign w:val="bottom"/>
            <w:hideMark/>
          </w:tcPr>
          <w:p w14:paraId="033B9EE6" w14:textId="77777777" w:rsidR="00250BCB" w:rsidRPr="00277BEC" w:rsidRDefault="00250BCB" w:rsidP="00250BCB">
            <w:pPr>
              <w:pStyle w:val="Tabletext"/>
              <w:rPr>
                <w:lang w:eastAsia="en-NZ"/>
              </w:rPr>
            </w:pPr>
            <w:r w:rsidRPr="00277BEC">
              <w:rPr>
                <w:lang w:eastAsia="en-NZ"/>
              </w:rPr>
              <w:t>0.0</w:t>
            </w:r>
          </w:p>
        </w:tc>
        <w:tc>
          <w:tcPr>
            <w:tcW w:w="1420" w:type="dxa"/>
            <w:shd w:val="clear" w:color="auto" w:fill="auto"/>
            <w:noWrap/>
            <w:vAlign w:val="bottom"/>
            <w:hideMark/>
          </w:tcPr>
          <w:p w14:paraId="214B954E" w14:textId="77777777" w:rsidR="00250BCB" w:rsidRPr="00277BEC" w:rsidRDefault="00250BCB" w:rsidP="00250BCB">
            <w:pPr>
              <w:pStyle w:val="Tabletext"/>
              <w:rPr>
                <w:lang w:eastAsia="en-NZ"/>
              </w:rPr>
            </w:pPr>
            <w:r w:rsidRPr="00277BEC">
              <w:rPr>
                <w:lang w:eastAsia="en-NZ"/>
              </w:rPr>
              <w:t>11.1</w:t>
            </w:r>
          </w:p>
        </w:tc>
      </w:tr>
      <w:tr w:rsidR="00250BCB" w:rsidRPr="00277BEC" w14:paraId="69001150" w14:textId="77777777" w:rsidTr="00250BCB">
        <w:trPr>
          <w:trHeight w:val="300"/>
          <w:tblCellSpacing w:w="20" w:type="dxa"/>
        </w:trPr>
        <w:tc>
          <w:tcPr>
            <w:tcW w:w="1060" w:type="dxa"/>
            <w:shd w:val="clear" w:color="auto" w:fill="auto"/>
            <w:noWrap/>
            <w:vAlign w:val="bottom"/>
            <w:hideMark/>
          </w:tcPr>
          <w:p w14:paraId="2EE1FEED" w14:textId="77777777" w:rsidR="00250BCB" w:rsidRPr="00277BEC" w:rsidRDefault="00250BCB" w:rsidP="00250BCB">
            <w:pPr>
              <w:pStyle w:val="Tabletext"/>
              <w:rPr>
                <w:lang w:eastAsia="en-NZ"/>
              </w:rPr>
            </w:pPr>
            <w:r w:rsidRPr="00277BEC">
              <w:rPr>
                <w:lang w:eastAsia="en-NZ"/>
              </w:rPr>
              <w:t>6</w:t>
            </w:r>
          </w:p>
        </w:tc>
        <w:tc>
          <w:tcPr>
            <w:tcW w:w="1420" w:type="dxa"/>
            <w:shd w:val="clear" w:color="auto" w:fill="auto"/>
            <w:noWrap/>
            <w:vAlign w:val="bottom"/>
            <w:hideMark/>
          </w:tcPr>
          <w:p w14:paraId="2EFDA4B0" w14:textId="77777777" w:rsidR="00250BCB" w:rsidRPr="00277BEC" w:rsidRDefault="00250BCB" w:rsidP="00250BCB">
            <w:pPr>
              <w:pStyle w:val="Tabletext"/>
              <w:rPr>
                <w:lang w:eastAsia="en-NZ"/>
              </w:rPr>
            </w:pPr>
            <w:r w:rsidRPr="00277BEC">
              <w:rPr>
                <w:lang w:eastAsia="en-NZ"/>
              </w:rPr>
              <w:t>4.0</w:t>
            </w:r>
          </w:p>
        </w:tc>
        <w:tc>
          <w:tcPr>
            <w:tcW w:w="1420" w:type="dxa"/>
            <w:shd w:val="clear" w:color="auto" w:fill="auto"/>
            <w:noWrap/>
            <w:vAlign w:val="bottom"/>
            <w:hideMark/>
          </w:tcPr>
          <w:p w14:paraId="53A3BE91" w14:textId="77777777" w:rsidR="00250BCB" w:rsidRPr="00277BEC" w:rsidRDefault="00250BCB" w:rsidP="00250BCB">
            <w:pPr>
              <w:pStyle w:val="Tabletext"/>
              <w:rPr>
                <w:lang w:eastAsia="en-NZ"/>
              </w:rPr>
            </w:pPr>
            <w:r w:rsidRPr="00277BEC">
              <w:rPr>
                <w:lang w:eastAsia="en-NZ"/>
              </w:rPr>
              <w:t>0.0</w:t>
            </w:r>
          </w:p>
        </w:tc>
        <w:tc>
          <w:tcPr>
            <w:tcW w:w="1420" w:type="dxa"/>
            <w:shd w:val="clear" w:color="auto" w:fill="auto"/>
            <w:noWrap/>
            <w:vAlign w:val="bottom"/>
            <w:hideMark/>
          </w:tcPr>
          <w:p w14:paraId="4BD29738" w14:textId="77777777" w:rsidR="00250BCB" w:rsidRPr="00277BEC" w:rsidRDefault="00250BCB" w:rsidP="00250BCB">
            <w:pPr>
              <w:pStyle w:val="Tabletext"/>
              <w:rPr>
                <w:lang w:eastAsia="en-NZ"/>
              </w:rPr>
            </w:pPr>
            <w:r w:rsidRPr="00277BEC">
              <w:rPr>
                <w:lang w:eastAsia="en-NZ"/>
              </w:rPr>
              <w:t>2.9</w:t>
            </w:r>
          </w:p>
        </w:tc>
      </w:tr>
      <w:tr w:rsidR="00250BCB" w:rsidRPr="00277BEC" w14:paraId="7FF25856" w14:textId="77777777" w:rsidTr="00250BCB">
        <w:trPr>
          <w:trHeight w:val="300"/>
          <w:tblCellSpacing w:w="20" w:type="dxa"/>
        </w:trPr>
        <w:tc>
          <w:tcPr>
            <w:tcW w:w="1060" w:type="dxa"/>
            <w:shd w:val="clear" w:color="auto" w:fill="auto"/>
            <w:noWrap/>
            <w:vAlign w:val="bottom"/>
            <w:hideMark/>
          </w:tcPr>
          <w:p w14:paraId="42A51F53" w14:textId="77777777" w:rsidR="00250BCB" w:rsidRPr="00277BEC" w:rsidRDefault="00250BCB" w:rsidP="00250BCB">
            <w:pPr>
              <w:pStyle w:val="Tabletext"/>
              <w:rPr>
                <w:b/>
                <w:i/>
                <w:iCs/>
                <w:lang w:eastAsia="en-NZ"/>
              </w:rPr>
            </w:pPr>
            <w:r w:rsidRPr="00277BEC">
              <w:rPr>
                <w:b/>
                <w:i/>
                <w:iCs/>
                <w:lang w:eastAsia="en-NZ"/>
              </w:rPr>
              <w:t>n</w:t>
            </w:r>
          </w:p>
        </w:tc>
        <w:tc>
          <w:tcPr>
            <w:tcW w:w="1420" w:type="dxa"/>
            <w:shd w:val="clear" w:color="auto" w:fill="auto"/>
            <w:noWrap/>
            <w:vAlign w:val="bottom"/>
            <w:hideMark/>
          </w:tcPr>
          <w:p w14:paraId="53AF9741" w14:textId="77777777" w:rsidR="00250BCB" w:rsidRPr="00277BEC" w:rsidRDefault="00250BCB" w:rsidP="00250BCB">
            <w:pPr>
              <w:pStyle w:val="Tabletext"/>
              <w:rPr>
                <w:lang w:eastAsia="en-NZ"/>
              </w:rPr>
            </w:pPr>
            <w:r w:rsidRPr="00277BEC">
              <w:rPr>
                <w:lang w:eastAsia="en-NZ"/>
              </w:rPr>
              <w:t>1,260</w:t>
            </w:r>
          </w:p>
        </w:tc>
        <w:tc>
          <w:tcPr>
            <w:tcW w:w="1420" w:type="dxa"/>
            <w:shd w:val="clear" w:color="auto" w:fill="auto"/>
            <w:noWrap/>
            <w:vAlign w:val="bottom"/>
            <w:hideMark/>
          </w:tcPr>
          <w:p w14:paraId="124A8C3B" w14:textId="77777777" w:rsidR="00250BCB" w:rsidRPr="00277BEC" w:rsidRDefault="00250BCB" w:rsidP="00250BCB">
            <w:pPr>
              <w:pStyle w:val="Tabletext"/>
              <w:rPr>
                <w:lang w:eastAsia="en-NZ"/>
              </w:rPr>
            </w:pPr>
            <w:r w:rsidRPr="00277BEC">
              <w:rPr>
                <w:lang w:eastAsia="en-NZ"/>
              </w:rPr>
              <w:t>85</w:t>
            </w:r>
          </w:p>
        </w:tc>
        <w:tc>
          <w:tcPr>
            <w:tcW w:w="1420" w:type="dxa"/>
            <w:shd w:val="clear" w:color="auto" w:fill="auto"/>
            <w:noWrap/>
            <w:vAlign w:val="bottom"/>
            <w:hideMark/>
          </w:tcPr>
          <w:p w14:paraId="50F27153" w14:textId="77777777" w:rsidR="00250BCB" w:rsidRPr="00277BEC" w:rsidRDefault="00250BCB" w:rsidP="00250BCB">
            <w:pPr>
              <w:pStyle w:val="Tabletext"/>
              <w:rPr>
                <w:lang w:eastAsia="en-NZ"/>
              </w:rPr>
            </w:pPr>
            <w:r w:rsidRPr="00277BEC">
              <w:rPr>
                <w:lang w:eastAsia="en-NZ"/>
              </w:rPr>
              <w:t>1,263</w:t>
            </w:r>
          </w:p>
        </w:tc>
      </w:tr>
    </w:tbl>
    <w:p w14:paraId="0F33DD9F" w14:textId="77777777" w:rsidR="00250BCB" w:rsidRPr="00277BEC" w:rsidRDefault="00250BCB" w:rsidP="00B0501D">
      <w:pPr>
        <w:pStyle w:val="BodyText"/>
        <w:spacing w:before="120"/>
        <w:jc w:val="left"/>
        <w:rPr>
          <w:rFonts w:ascii="Arial" w:hAnsi="Arial" w:cs="Arial"/>
        </w:rPr>
      </w:pPr>
      <w:r w:rsidRPr="00277BEC">
        <w:rPr>
          <w:rFonts w:ascii="Arial" w:hAnsi="Arial" w:cs="Arial"/>
        </w:rPr>
        <w:t>Figure 6 shows logistic regression functions depicting the probability of attaining NCEA Level 1 or above (top panel), Level 2 or above (middle panel) and Level 3 (bottom panel), conditioned on performance on the numeracy scale. For all three levels of NCEA, the discrimination of the logistic curves is quite low; that is, the level of numeracy signified by the scale score from the Assessment Tool is not a strong predictor of students’ success or otherwise in gaining each level of NCEA. The slopes of all three curves are similarly shallow, showing that there is little variation in the (poor) predictive relationship between the numeracy scale score and the probability of attaining each NCEA level.</w:t>
      </w:r>
    </w:p>
    <w:p w14:paraId="53C9D256" w14:textId="3DD23AEE" w:rsidR="004D6AC1" w:rsidRPr="00277BEC" w:rsidRDefault="00250BCB" w:rsidP="00B0501D">
      <w:pPr>
        <w:pStyle w:val="BodyText"/>
        <w:jc w:val="left"/>
        <w:rPr>
          <w:rFonts w:ascii="Arial" w:hAnsi="Arial" w:cs="Arial"/>
        </w:rPr>
      </w:pPr>
      <w:r w:rsidRPr="00277BEC">
        <w:rPr>
          <w:rFonts w:ascii="Arial" w:hAnsi="Arial" w:cs="Arial"/>
        </w:rPr>
        <w:t xml:space="preserve">To some extent the poor predictive relationship between numeracy and the probability of attaining NCEA Level 1 is unsurprising; aside from meeting the 10 credit numeracy requirement, students do not have to undertake any standards in mathematics or other numerate subjects to attain the certificates. There is a progression in the probabilities of attaining each of the three levels, with any given score on the numeracy scale associated with a higher probability of attaining Level 1 than of attaining Level 2, and a higher probability of attaining Level 2 than of attaining </w:t>
      </w:r>
      <w:r w:rsidR="00B0501D" w:rsidRPr="00277BEC">
        <w:rPr>
          <w:rFonts w:ascii="Arial" w:hAnsi="Arial" w:cs="Arial"/>
        </w:rPr>
        <w:t>Level</w:t>
      </w:r>
      <w:r w:rsidR="00B0501D">
        <w:rPr>
          <w:rFonts w:ascii="Arial" w:hAnsi="Arial" w:cs="Arial"/>
        </w:rPr>
        <w:t> </w:t>
      </w:r>
      <w:r w:rsidRPr="00277BEC">
        <w:rPr>
          <w:rFonts w:ascii="Arial" w:hAnsi="Arial" w:cs="Arial"/>
        </w:rPr>
        <w:t xml:space="preserve">3. The probabilities of attaining NCEA Level 1, 2 and 3 for students at the bottom of numeracy </w:t>
      </w:r>
      <w:r w:rsidR="00AC2644">
        <w:rPr>
          <w:rFonts w:ascii="Arial" w:hAnsi="Arial" w:cs="Arial"/>
        </w:rPr>
        <w:t>S</w:t>
      </w:r>
      <w:r w:rsidRPr="00277BEC">
        <w:rPr>
          <w:rFonts w:ascii="Arial" w:hAnsi="Arial" w:cs="Arial"/>
        </w:rPr>
        <w:t>tep 5, are approximately 78</w:t>
      </w:r>
      <w:r w:rsidR="00AC2644">
        <w:rPr>
          <w:rFonts w:ascii="Arial" w:hAnsi="Arial" w:cs="Arial"/>
        </w:rPr>
        <w:t> percent</w:t>
      </w:r>
      <w:r w:rsidRPr="00277BEC">
        <w:rPr>
          <w:rFonts w:ascii="Arial" w:hAnsi="Arial" w:cs="Arial"/>
        </w:rPr>
        <w:t>, 60</w:t>
      </w:r>
      <w:r w:rsidR="00AC2644">
        <w:rPr>
          <w:rFonts w:ascii="Arial" w:hAnsi="Arial" w:cs="Arial"/>
        </w:rPr>
        <w:t> percent</w:t>
      </w:r>
      <w:r w:rsidR="00AC2644" w:rsidRPr="00277BEC">
        <w:rPr>
          <w:rFonts w:ascii="Arial" w:hAnsi="Arial" w:cs="Arial"/>
        </w:rPr>
        <w:t xml:space="preserve"> </w:t>
      </w:r>
      <w:r w:rsidRPr="00277BEC">
        <w:rPr>
          <w:rFonts w:ascii="Arial" w:hAnsi="Arial" w:cs="Arial"/>
        </w:rPr>
        <w:t>and 19</w:t>
      </w:r>
      <w:r w:rsidR="00AC2644">
        <w:rPr>
          <w:rFonts w:ascii="Arial" w:hAnsi="Arial" w:cs="Arial"/>
        </w:rPr>
        <w:t> percent</w:t>
      </w:r>
      <w:r w:rsidR="00AC2644" w:rsidRPr="00277BEC">
        <w:rPr>
          <w:rFonts w:ascii="Arial" w:hAnsi="Arial" w:cs="Arial"/>
        </w:rPr>
        <w:t xml:space="preserve"> </w:t>
      </w:r>
      <w:r w:rsidRPr="00277BEC">
        <w:rPr>
          <w:rFonts w:ascii="Arial" w:hAnsi="Arial" w:cs="Arial"/>
        </w:rPr>
        <w:t>respectively.</w:t>
      </w:r>
    </w:p>
    <w:p w14:paraId="2D47AC2C" w14:textId="31A4EBA7" w:rsidR="00E14253" w:rsidRPr="00277BEC" w:rsidRDefault="00E14253">
      <w:pPr>
        <w:spacing w:after="0" w:line="240" w:lineRule="auto"/>
        <w:jc w:val="left"/>
        <w:rPr>
          <w:rFonts w:ascii="Arial" w:eastAsia="Times" w:hAnsi="Arial" w:cs="Arial"/>
          <w:szCs w:val="20"/>
        </w:rPr>
      </w:pPr>
      <w:r w:rsidRPr="00277BEC">
        <w:rPr>
          <w:rFonts w:ascii="Arial" w:hAnsi="Arial" w:cs="Arial"/>
        </w:rPr>
        <w:br w:type="page"/>
      </w:r>
    </w:p>
    <w:p w14:paraId="7CEF4FAB" w14:textId="7BFAB89B" w:rsidR="00250BCB" w:rsidRPr="00277BEC" w:rsidRDefault="00250BCB" w:rsidP="004D6AC1">
      <w:pPr>
        <w:spacing w:after="0" w:line="240" w:lineRule="auto"/>
        <w:jc w:val="left"/>
        <w:rPr>
          <w:rFonts w:ascii="Arial" w:eastAsia="Times" w:hAnsi="Arial" w:cs="Arial"/>
          <w:szCs w:val="20"/>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196"/>
      </w:tblGrid>
      <w:tr w:rsidR="00054FEA" w:rsidRPr="00277BEC" w14:paraId="78A2DCEF" w14:textId="77777777" w:rsidTr="00B11476">
        <w:tc>
          <w:tcPr>
            <w:tcW w:w="7196" w:type="dxa"/>
          </w:tcPr>
          <w:p w14:paraId="0E128C73" w14:textId="0C3192B7" w:rsidR="00054FEA" w:rsidRPr="00277BEC" w:rsidRDefault="004D6AC1" w:rsidP="004D6AC1">
            <w:pPr>
              <w:pStyle w:val="BodyText"/>
              <w:spacing w:line="240" w:lineRule="auto"/>
              <w:rPr>
                <w:rFonts w:ascii="Arial" w:hAnsi="Arial" w:cs="Arial"/>
              </w:rPr>
            </w:pPr>
            <w:r w:rsidRPr="00277BEC">
              <w:rPr>
                <w:rFonts w:ascii="Arial" w:hAnsi="Arial" w:cs="Arial"/>
                <w:noProof/>
                <w:lang w:val="en-NZ" w:eastAsia="en-NZ"/>
              </w:rPr>
              <w:drawing>
                <wp:inline distT="0" distB="0" distL="0" distR="0" wp14:anchorId="5BEB1D1A" wp14:editId="65C8535F">
                  <wp:extent cx="4387850" cy="2496185"/>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a.png"/>
                          <pic:cNvPicPr/>
                        </pic:nvPicPr>
                        <pic:blipFill>
                          <a:blip r:embed="rId16">
                            <a:extLst>
                              <a:ext uri="{28A0092B-C50C-407E-A947-70E740481C1C}">
                                <a14:useLocalDpi xmlns:a14="http://schemas.microsoft.com/office/drawing/2010/main" val="0"/>
                              </a:ext>
                            </a:extLst>
                          </a:blip>
                          <a:stretch>
                            <a:fillRect/>
                          </a:stretch>
                        </pic:blipFill>
                        <pic:spPr>
                          <a:xfrm>
                            <a:off x="0" y="0"/>
                            <a:ext cx="4387850" cy="2496185"/>
                          </a:xfrm>
                          <a:prstGeom prst="rect">
                            <a:avLst/>
                          </a:prstGeom>
                        </pic:spPr>
                      </pic:pic>
                    </a:graphicData>
                  </a:graphic>
                </wp:inline>
              </w:drawing>
            </w:r>
            <w:r w:rsidR="00054FEA" w:rsidRPr="00277BEC">
              <w:rPr>
                <w:rFonts w:ascii="Arial" w:hAnsi="Arial" w:cs="Arial"/>
                <w:noProof/>
                <w:lang w:val="en-NZ" w:eastAsia="en-NZ"/>
              </w:rPr>
              <w:drawing>
                <wp:inline distT="0" distB="0" distL="0" distR="0" wp14:anchorId="0C3A2025" wp14:editId="2CEFE583">
                  <wp:extent cx="4387850" cy="269621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png"/>
                          <pic:cNvPicPr/>
                        </pic:nvPicPr>
                        <pic:blipFill>
                          <a:blip r:embed="rId17">
                            <a:extLst>
                              <a:ext uri="{28A0092B-C50C-407E-A947-70E740481C1C}">
                                <a14:useLocalDpi xmlns:a14="http://schemas.microsoft.com/office/drawing/2010/main" val="0"/>
                              </a:ext>
                            </a:extLst>
                          </a:blip>
                          <a:stretch>
                            <a:fillRect/>
                          </a:stretch>
                        </pic:blipFill>
                        <pic:spPr>
                          <a:xfrm>
                            <a:off x="0" y="0"/>
                            <a:ext cx="4387850" cy="26962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77BEC">
              <w:rPr>
                <w:rFonts w:ascii="Arial" w:hAnsi="Arial" w:cs="Arial"/>
                <w:noProof/>
                <w:lang w:val="en-NZ" w:eastAsia="en-NZ"/>
              </w:rPr>
              <w:drawing>
                <wp:inline distT="0" distB="0" distL="0" distR="0" wp14:anchorId="33D90B09" wp14:editId="4E8B3425">
                  <wp:extent cx="4391220" cy="2515517"/>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c.png"/>
                          <pic:cNvPicPr/>
                        </pic:nvPicPr>
                        <pic:blipFill rotWithShape="1">
                          <a:blip r:embed="rId18">
                            <a:extLst>
                              <a:ext uri="{28A0092B-C50C-407E-A947-70E740481C1C}">
                                <a14:useLocalDpi xmlns:a14="http://schemas.microsoft.com/office/drawing/2010/main" val="0"/>
                              </a:ext>
                            </a:extLst>
                          </a:blip>
                          <a:srcRect t="4529"/>
                          <a:stretch/>
                        </pic:blipFill>
                        <pic:spPr bwMode="auto">
                          <a:xfrm>
                            <a:off x="0" y="0"/>
                            <a:ext cx="4391220" cy="25155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3CAAB5" w14:textId="14E5BB17" w:rsidR="00250BCB" w:rsidRPr="00AC2644" w:rsidRDefault="00250BCB" w:rsidP="004D6AC1">
      <w:pPr>
        <w:spacing w:line="240" w:lineRule="auto"/>
        <w:rPr>
          <w:rFonts w:ascii="Arial" w:hAnsi="Arial" w:cs="Arial"/>
          <w:sz w:val="18"/>
          <w:szCs w:val="18"/>
        </w:rPr>
      </w:pPr>
      <w:bookmarkStart w:id="55" w:name="_Toc417920079"/>
      <w:r w:rsidRPr="00AC2644">
        <w:rPr>
          <w:rFonts w:ascii="Arial" w:hAnsi="Arial" w:cs="Arial"/>
          <w:b/>
          <w:sz w:val="18"/>
          <w:szCs w:val="18"/>
        </w:rPr>
        <w:t xml:space="preserve">Figure </w:t>
      </w:r>
      <w:r w:rsidRPr="00AC2644">
        <w:rPr>
          <w:rFonts w:ascii="Arial" w:hAnsi="Arial" w:cs="Arial"/>
          <w:b/>
          <w:sz w:val="18"/>
          <w:szCs w:val="18"/>
        </w:rPr>
        <w:fldChar w:fldCharType="begin"/>
      </w:r>
      <w:r w:rsidRPr="00AC2644">
        <w:rPr>
          <w:rFonts w:ascii="Arial" w:hAnsi="Arial" w:cs="Arial"/>
          <w:b/>
          <w:sz w:val="18"/>
          <w:szCs w:val="18"/>
        </w:rPr>
        <w:instrText xml:space="preserve"> SEQ Figure \* ARABIC </w:instrText>
      </w:r>
      <w:r w:rsidRPr="00AC2644">
        <w:rPr>
          <w:rFonts w:ascii="Arial" w:hAnsi="Arial" w:cs="Arial"/>
          <w:b/>
          <w:sz w:val="18"/>
          <w:szCs w:val="18"/>
        </w:rPr>
        <w:fldChar w:fldCharType="separate"/>
      </w:r>
      <w:r w:rsidR="00277BEC" w:rsidRPr="00AC2644">
        <w:rPr>
          <w:rFonts w:ascii="Arial" w:hAnsi="Arial" w:cs="Arial"/>
          <w:b/>
          <w:noProof/>
          <w:sz w:val="18"/>
          <w:szCs w:val="18"/>
        </w:rPr>
        <w:t>6</w:t>
      </w:r>
      <w:r w:rsidRPr="00AC2644">
        <w:rPr>
          <w:rFonts w:ascii="Arial" w:hAnsi="Arial" w:cs="Arial"/>
          <w:b/>
          <w:sz w:val="18"/>
          <w:szCs w:val="18"/>
        </w:rPr>
        <w:fldChar w:fldCharType="end"/>
      </w:r>
      <w:r w:rsidRPr="00AC2644">
        <w:rPr>
          <w:rFonts w:ascii="Arial" w:hAnsi="Arial" w:cs="Arial"/>
          <w:sz w:val="18"/>
          <w:szCs w:val="18"/>
        </w:rPr>
        <w:t xml:space="preserve"> Logistic regression functions depicting the probability of the tertiary cohort attaining NCEA Levels 1, 2 and 3 conditioned on performance on the numeracy scale.</w:t>
      </w:r>
      <w:bookmarkEnd w:id="55"/>
    </w:p>
    <w:p w14:paraId="7E6DBA77" w14:textId="77777777" w:rsidR="00250BCB" w:rsidRPr="00277BEC" w:rsidRDefault="00250BCB" w:rsidP="00AC2644">
      <w:pPr>
        <w:pStyle w:val="BodyText"/>
        <w:jc w:val="left"/>
        <w:rPr>
          <w:rFonts w:ascii="Arial" w:hAnsi="Arial" w:cs="Arial"/>
        </w:rPr>
      </w:pPr>
      <w:r w:rsidRPr="00277BEC">
        <w:rPr>
          <w:rFonts w:ascii="Arial" w:hAnsi="Arial" w:cs="Arial"/>
        </w:rPr>
        <w:t xml:space="preserve">Figure 7 shows logistic regression functions depicting the probability of attaining NCEA Level 1 or above (top panel), Level 2 or above (middle panel) and Level 3 (bottom panel), conditioned on performance on the reading scale. Again, for all three </w:t>
      </w:r>
      <w:r w:rsidRPr="00277BEC">
        <w:rPr>
          <w:rFonts w:ascii="Arial" w:hAnsi="Arial" w:cs="Arial"/>
        </w:rPr>
        <w:lastRenderedPageBreak/>
        <w:t xml:space="preserve">levels, the discrimination of the logistic functions is similar, and low. This poor discrimination is perhaps more surprising in the case of reading than it is in the case of numeracy, because a majority of achievement standards can contribute to the NCEA literacy requirement, and most subjects with achievement standards entail a reading demand. </w:t>
      </w:r>
    </w:p>
    <w:p w14:paraId="5297754B" w14:textId="739BDE75" w:rsidR="00623537" w:rsidRPr="00277BEC" w:rsidRDefault="00250BCB" w:rsidP="00AC2644">
      <w:pPr>
        <w:pStyle w:val="BodyText"/>
        <w:jc w:val="left"/>
        <w:rPr>
          <w:rFonts w:ascii="Arial" w:hAnsi="Arial" w:cs="Arial"/>
        </w:rPr>
      </w:pPr>
      <w:r w:rsidRPr="00277BEC">
        <w:rPr>
          <w:rFonts w:ascii="Arial" w:hAnsi="Arial" w:cs="Arial"/>
        </w:rPr>
        <w:t xml:space="preserve">As was the case for the logistic functions conditioned on numeracy in Figure 6, there is a progressive decrease in the probability of attaining successive NCEA levels at any given reading scale </w:t>
      </w:r>
      <w:proofErr w:type="gramStart"/>
      <w:r w:rsidRPr="00277BEC">
        <w:rPr>
          <w:rFonts w:ascii="Arial" w:hAnsi="Arial" w:cs="Arial"/>
        </w:rPr>
        <w:t>score.</w:t>
      </w:r>
      <w:proofErr w:type="gramEnd"/>
      <w:r w:rsidRPr="00277BEC">
        <w:rPr>
          <w:rFonts w:ascii="Arial" w:hAnsi="Arial" w:cs="Arial"/>
        </w:rPr>
        <w:t xml:space="preserve"> The probabilities of attaining NCEA Level 1, 2 and 3 for students at the bottom of reading </w:t>
      </w:r>
      <w:r w:rsidR="00AC2644">
        <w:rPr>
          <w:rFonts w:ascii="Arial" w:hAnsi="Arial" w:cs="Arial"/>
        </w:rPr>
        <w:t>S</w:t>
      </w:r>
      <w:r w:rsidRPr="00277BEC">
        <w:rPr>
          <w:rFonts w:ascii="Arial" w:hAnsi="Arial" w:cs="Arial"/>
        </w:rPr>
        <w:t>tep 4, the minimum designating a functionally adult level of literacy, are approximately 70</w:t>
      </w:r>
      <w:r w:rsidR="00AC2644">
        <w:rPr>
          <w:rFonts w:ascii="Arial" w:hAnsi="Arial" w:cs="Arial"/>
        </w:rPr>
        <w:t> percent</w:t>
      </w:r>
      <w:r w:rsidRPr="00277BEC">
        <w:rPr>
          <w:rFonts w:ascii="Arial" w:hAnsi="Arial" w:cs="Arial"/>
        </w:rPr>
        <w:t>, 50</w:t>
      </w:r>
      <w:r w:rsidR="00AC2644">
        <w:rPr>
          <w:rFonts w:ascii="Arial" w:hAnsi="Arial" w:cs="Arial"/>
        </w:rPr>
        <w:t> percent</w:t>
      </w:r>
      <w:r w:rsidR="00AC2644" w:rsidRPr="00277BEC">
        <w:rPr>
          <w:rFonts w:ascii="Arial" w:hAnsi="Arial" w:cs="Arial"/>
        </w:rPr>
        <w:t xml:space="preserve"> </w:t>
      </w:r>
      <w:r w:rsidRPr="00277BEC">
        <w:rPr>
          <w:rFonts w:ascii="Arial" w:hAnsi="Arial" w:cs="Arial"/>
        </w:rPr>
        <w:t>and 16</w:t>
      </w:r>
      <w:r w:rsidR="00AC2644">
        <w:rPr>
          <w:rFonts w:ascii="Arial" w:hAnsi="Arial" w:cs="Arial"/>
        </w:rPr>
        <w:t> percent</w:t>
      </w:r>
      <w:r w:rsidR="00AC2644" w:rsidRPr="00277BEC">
        <w:rPr>
          <w:rFonts w:ascii="Arial" w:hAnsi="Arial" w:cs="Arial"/>
        </w:rPr>
        <w:t xml:space="preserve"> </w:t>
      </w:r>
      <w:r w:rsidRPr="00277BEC">
        <w:rPr>
          <w:rFonts w:ascii="Arial" w:hAnsi="Arial" w:cs="Arial"/>
        </w:rPr>
        <w:t xml:space="preserve">respectively. </w:t>
      </w:r>
    </w:p>
    <w:p w14:paraId="177BA713" w14:textId="64130E02" w:rsidR="00250BCB" w:rsidRPr="00277BEC" w:rsidRDefault="00623537" w:rsidP="00623537">
      <w:pPr>
        <w:spacing w:after="0" w:line="240" w:lineRule="auto"/>
        <w:jc w:val="left"/>
        <w:rPr>
          <w:rFonts w:ascii="Arial" w:eastAsia="Times" w:hAnsi="Arial" w:cs="Arial"/>
          <w:szCs w:val="20"/>
        </w:rPr>
      </w:pPr>
      <w:r w:rsidRPr="00277BEC">
        <w:rPr>
          <w:rFonts w:ascii="Arial" w:hAnsi="Arial" w:cs="Arial"/>
        </w:rPr>
        <w:br w:type="page"/>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196"/>
      </w:tblGrid>
      <w:tr w:rsidR="00623537" w:rsidRPr="00277BEC" w14:paraId="4153BE5A" w14:textId="77777777" w:rsidTr="00623537">
        <w:tc>
          <w:tcPr>
            <w:tcW w:w="7196" w:type="dxa"/>
          </w:tcPr>
          <w:p w14:paraId="456EA8EF" w14:textId="38FD179C" w:rsidR="00623537" w:rsidRPr="00277BEC" w:rsidRDefault="00FA6EAA" w:rsidP="00250BCB">
            <w:pPr>
              <w:spacing w:line="240" w:lineRule="auto"/>
              <w:rPr>
                <w:rFonts w:ascii="Arial" w:hAnsi="Arial" w:cs="Arial"/>
                <w:b/>
                <w:sz w:val="20"/>
              </w:rPr>
            </w:pPr>
            <w:r w:rsidRPr="00277BEC">
              <w:rPr>
                <w:rFonts w:ascii="Arial" w:hAnsi="Arial" w:cs="Arial"/>
                <w:b/>
                <w:noProof/>
                <w:sz w:val="20"/>
                <w:lang w:val="en-NZ" w:eastAsia="en-NZ"/>
              </w:rPr>
              <w:lastRenderedPageBreak/>
              <w:drawing>
                <wp:inline distT="0" distB="0" distL="0" distR="0" wp14:anchorId="5BD38056" wp14:editId="7267228B">
                  <wp:extent cx="4392000" cy="254232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a new.png"/>
                          <pic:cNvPicPr/>
                        </pic:nvPicPr>
                        <pic:blipFill>
                          <a:blip r:embed="rId19">
                            <a:extLst>
                              <a:ext uri="{28A0092B-C50C-407E-A947-70E740481C1C}">
                                <a14:useLocalDpi xmlns:a14="http://schemas.microsoft.com/office/drawing/2010/main" val="0"/>
                              </a:ext>
                            </a:extLst>
                          </a:blip>
                          <a:stretch>
                            <a:fillRect/>
                          </a:stretch>
                        </pic:blipFill>
                        <pic:spPr>
                          <a:xfrm>
                            <a:off x="0" y="0"/>
                            <a:ext cx="4392000" cy="2542324"/>
                          </a:xfrm>
                          <a:prstGeom prst="rect">
                            <a:avLst/>
                          </a:prstGeom>
                        </pic:spPr>
                      </pic:pic>
                    </a:graphicData>
                  </a:graphic>
                </wp:inline>
              </w:drawing>
            </w:r>
            <w:r w:rsidRPr="00277BEC">
              <w:rPr>
                <w:rFonts w:ascii="Arial" w:hAnsi="Arial" w:cs="Arial"/>
                <w:b/>
                <w:noProof/>
                <w:sz w:val="20"/>
                <w:lang w:val="en-NZ" w:eastAsia="en-NZ"/>
              </w:rPr>
              <w:drawing>
                <wp:inline distT="0" distB="0" distL="0" distR="0" wp14:anchorId="2D6DECBF" wp14:editId="4187A468">
                  <wp:extent cx="4392000" cy="267709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b new.png"/>
                          <pic:cNvPicPr/>
                        </pic:nvPicPr>
                        <pic:blipFill>
                          <a:blip r:embed="rId20">
                            <a:extLst>
                              <a:ext uri="{28A0092B-C50C-407E-A947-70E740481C1C}">
                                <a14:useLocalDpi xmlns:a14="http://schemas.microsoft.com/office/drawing/2010/main" val="0"/>
                              </a:ext>
                            </a:extLst>
                          </a:blip>
                          <a:stretch>
                            <a:fillRect/>
                          </a:stretch>
                        </pic:blipFill>
                        <pic:spPr>
                          <a:xfrm>
                            <a:off x="0" y="0"/>
                            <a:ext cx="4392000" cy="2677093"/>
                          </a:xfrm>
                          <a:prstGeom prst="rect">
                            <a:avLst/>
                          </a:prstGeom>
                        </pic:spPr>
                      </pic:pic>
                    </a:graphicData>
                  </a:graphic>
                </wp:inline>
              </w:drawing>
            </w:r>
            <w:r w:rsidRPr="00277BEC">
              <w:rPr>
                <w:rFonts w:ascii="Arial" w:hAnsi="Arial" w:cs="Arial"/>
                <w:b/>
                <w:noProof/>
                <w:sz w:val="20"/>
                <w:lang w:val="en-NZ" w:eastAsia="en-NZ"/>
              </w:rPr>
              <w:drawing>
                <wp:inline distT="0" distB="0" distL="0" distR="0" wp14:anchorId="46F89397" wp14:editId="7357A0E4">
                  <wp:extent cx="4392000" cy="2578367"/>
                  <wp:effectExtent l="0" t="0" r="254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c new.png"/>
                          <pic:cNvPicPr/>
                        </pic:nvPicPr>
                        <pic:blipFill>
                          <a:blip r:embed="rId21">
                            <a:extLst>
                              <a:ext uri="{28A0092B-C50C-407E-A947-70E740481C1C}">
                                <a14:useLocalDpi xmlns:a14="http://schemas.microsoft.com/office/drawing/2010/main" val="0"/>
                              </a:ext>
                            </a:extLst>
                          </a:blip>
                          <a:stretch>
                            <a:fillRect/>
                          </a:stretch>
                        </pic:blipFill>
                        <pic:spPr>
                          <a:xfrm>
                            <a:off x="0" y="0"/>
                            <a:ext cx="4392000" cy="2578367"/>
                          </a:xfrm>
                          <a:prstGeom prst="rect">
                            <a:avLst/>
                          </a:prstGeom>
                        </pic:spPr>
                      </pic:pic>
                    </a:graphicData>
                  </a:graphic>
                </wp:inline>
              </w:drawing>
            </w:r>
          </w:p>
        </w:tc>
      </w:tr>
    </w:tbl>
    <w:p w14:paraId="79D2491C" w14:textId="3DB21B3A" w:rsidR="002A7E39" w:rsidRPr="00277BEC" w:rsidRDefault="00250BCB" w:rsidP="00AC2644">
      <w:pPr>
        <w:pStyle w:val="Caption"/>
        <w:jc w:val="left"/>
        <w:rPr>
          <w:rFonts w:cs="Arial"/>
        </w:rPr>
        <w:sectPr w:rsidR="002A7E39" w:rsidRPr="00277BEC" w:rsidSect="009A2758">
          <w:headerReference w:type="even" r:id="rId22"/>
          <w:headerReference w:type="default" r:id="rId23"/>
          <w:footerReference w:type="even" r:id="rId24"/>
          <w:footerReference w:type="default" r:id="rId25"/>
          <w:pgSz w:w="11900" w:h="16840"/>
          <w:pgMar w:top="567" w:right="1695" w:bottom="426" w:left="1797" w:header="709" w:footer="709" w:gutter="0"/>
          <w:cols w:space="708"/>
          <w:titlePg/>
        </w:sectPr>
      </w:pPr>
      <w:bookmarkStart w:id="56" w:name="_Toc417920080"/>
      <w:r w:rsidRPr="00277BEC">
        <w:rPr>
          <w:rFonts w:cs="Arial"/>
          <w:b/>
        </w:rPr>
        <w:t xml:space="preserve">Figure </w:t>
      </w:r>
      <w:r w:rsidRPr="00277BEC">
        <w:rPr>
          <w:rFonts w:cs="Arial"/>
          <w:b/>
        </w:rPr>
        <w:fldChar w:fldCharType="begin"/>
      </w:r>
      <w:r w:rsidRPr="00277BEC">
        <w:rPr>
          <w:rFonts w:cs="Arial"/>
          <w:b/>
        </w:rPr>
        <w:instrText xml:space="preserve"> SEQ Figure \* ARABIC </w:instrText>
      </w:r>
      <w:r w:rsidRPr="00277BEC">
        <w:rPr>
          <w:rFonts w:cs="Arial"/>
          <w:b/>
        </w:rPr>
        <w:fldChar w:fldCharType="separate"/>
      </w:r>
      <w:r w:rsidR="00277BEC" w:rsidRPr="00277BEC">
        <w:rPr>
          <w:rFonts w:cs="Arial"/>
          <w:b/>
          <w:noProof/>
        </w:rPr>
        <w:t>7</w:t>
      </w:r>
      <w:r w:rsidRPr="00277BEC">
        <w:rPr>
          <w:rFonts w:cs="Arial"/>
          <w:b/>
        </w:rPr>
        <w:fldChar w:fldCharType="end"/>
      </w:r>
      <w:r w:rsidRPr="00277BEC">
        <w:rPr>
          <w:rFonts w:cs="Arial"/>
        </w:rPr>
        <w:t xml:space="preserve"> Logistic regression functions depicting the probability of the tertiary cohort attaining NCEA Levels 1, 2 and 3 conditioned on performance on the reading scale.</w:t>
      </w:r>
      <w:bookmarkEnd w:id="56"/>
    </w:p>
    <w:p w14:paraId="134BAF0F" w14:textId="77777777" w:rsidR="00A50FC8" w:rsidRPr="00277BEC" w:rsidRDefault="00A50FC8" w:rsidP="00AC2644">
      <w:pPr>
        <w:pStyle w:val="Heading1"/>
        <w:jc w:val="left"/>
        <w:rPr>
          <w:rFonts w:cs="Arial"/>
        </w:rPr>
      </w:pPr>
      <w:bookmarkStart w:id="57" w:name="_Toc264282849"/>
      <w:bookmarkStart w:id="58" w:name="_Toc417920186"/>
      <w:r w:rsidRPr="00277BEC">
        <w:rPr>
          <w:rFonts w:cs="Arial"/>
        </w:rPr>
        <w:lastRenderedPageBreak/>
        <w:t>Aligning the learning progressions with the National Standards</w:t>
      </w:r>
      <w:bookmarkEnd w:id="57"/>
      <w:bookmarkEnd w:id="58"/>
    </w:p>
    <w:p w14:paraId="59879DE7" w14:textId="77777777" w:rsidR="00770505" w:rsidRPr="00277BEC" w:rsidRDefault="00770505" w:rsidP="00AC2644">
      <w:pPr>
        <w:pStyle w:val="BodyText"/>
        <w:jc w:val="left"/>
        <w:rPr>
          <w:rFonts w:ascii="Arial" w:hAnsi="Arial" w:cs="Arial"/>
        </w:rPr>
      </w:pPr>
      <w:r w:rsidRPr="00277BEC">
        <w:rPr>
          <w:rFonts w:ascii="Arial" w:hAnsi="Arial" w:cs="Arial"/>
        </w:rPr>
        <w:t xml:space="preserve">This </w:t>
      </w:r>
      <w:r w:rsidR="009A2758" w:rsidRPr="00277BEC">
        <w:rPr>
          <w:rFonts w:ascii="Arial" w:hAnsi="Arial" w:cs="Arial"/>
        </w:rPr>
        <w:t>chapter</w:t>
      </w:r>
      <w:r w:rsidRPr="00277BEC">
        <w:rPr>
          <w:rFonts w:ascii="Arial" w:hAnsi="Arial" w:cs="Arial"/>
        </w:rPr>
        <w:t xml:space="preserve"> investigates the alignment between the learning progressions and the </w:t>
      </w:r>
      <w:r w:rsidR="00EA6C7C" w:rsidRPr="00277BEC">
        <w:rPr>
          <w:rFonts w:ascii="Arial" w:hAnsi="Arial" w:cs="Arial"/>
        </w:rPr>
        <w:t>End of Year 8</w:t>
      </w:r>
      <w:r w:rsidRPr="00277BEC">
        <w:rPr>
          <w:rFonts w:ascii="Arial" w:hAnsi="Arial" w:cs="Arial"/>
        </w:rPr>
        <w:t xml:space="preserve"> National Standards in reading and mathematics.</w:t>
      </w:r>
      <w:r w:rsidRPr="00277BEC">
        <w:rPr>
          <w:rFonts w:ascii="Arial" w:hAnsi="Arial" w:cs="Arial"/>
          <w:lang w:val="en-US"/>
        </w:rPr>
        <w:t xml:space="preserve"> The National Standards were designed so that a student who meets them is on track to succeed at NCEA Level 2. </w:t>
      </w:r>
      <w:r w:rsidRPr="00277BEC">
        <w:rPr>
          <w:rFonts w:ascii="Arial" w:hAnsi="Arial" w:cs="Arial"/>
        </w:rPr>
        <w:t>The research question is:</w:t>
      </w:r>
    </w:p>
    <w:p w14:paraId="42C17D63" w14:textId="262217F8" w:rsidR="00770505" w:rsidRPr="00C32D81" w:rsidRDefault="00770505" w:rsidP="00C32D81">
      <w:pPr>
        <w:pStyle w:val="BodyText"/>
        <w:numPr>
          <w:ilvl w:val="0"/>
          <w:numId w:val="8"/>
        </w:numPr>
        <w:jc w:val="left"/>
        <w:rPr>
          <w:rFonts w:ascii="Arial" w:hAnsi="Arial" w:cs="Arial"/>
          <w:b/>
        </w:rPr>
      </w:pPr>
      <w:r w:rsidRPr="00C32D81">
        <w:rPr>
          <w:rFonts w:ascii="Arial" w:hAnsi="Arial" w:cs="Arial"/>
          <w:b/>
        </w:rPr>
        <w:t>What is the distribution on the Assessment Tool</w:t>
      </w:r>
      <w:r w:rsidR="00616028" w:rsidRPr="00C32D81">
        <w:rPr>
          <w:rFonts w:ascii="Arial" w:hAnsi="Arial" w:cs="Arial"/>
          <w:b/>
        </w:rPr>
        <w:t xml:space="preserve"> scales</w:t>
      </w:r>
      <w:r w:rsidRPr="00C32D81">
        <w:rPr>
          <w:rFonts w:ascii="Arial" w:hAnsi="Arial" w:cs="Arial"/>
          <w:b/>
        </w:rPr>
        <w:t xml:space="preserve">, and by extension, on the </w:t>
      </w:r>
      <w:r w:rsidR="00DF623E" w:rsidRPr="00C32D81">
        <w:rPr>
          <w:rFonts w:ascii="Arial" w:hAnsi="Arial" w:cs="Arial"/>
          <w:b/>
        </w:rPr>
        <w:t>learning progressions</w:t>
      </w:r>
      <w:r w:rsidRPr="00C32D81">
        <w:rPr>
          <w:rFonts w:ascii="Arial" w:hAnsi="Arial" w:cs="Arial"/>
          <w:b/>
        </w:rPr>
        <w:t xml:space="preserve">, of </w:t>
      </w:r>
      <w:r w:rsidR="001B0891" w:rsidRPr="00C32D81">
        <w:rPr>
          <w:rFonts w:ascii="Arial" w:hAnsi="Arial" w:cs="Arial"/>
          <w:b/>
        </w:rPr>
        <w:t>students</w:t>
      </w:r>
      <w:r w:rsidRPr="00C32D81">
        <w:rPr>
          <w:rFonts w:ascii="Arial" w:hAnsi="Arial" w:cs="Arial"/>
          <w:b/>
        </w:rPr>
        <w:t xml:space="preserve"> who are assessed as being </w:t>
      </w:r>
      <w:r w:rsidRPr="00C32D81">
        <w:rPr>
          <w:rFonts w:ascii="Arial" w:hAnsi="Arial" w:cs="Arial"/>
          <w:b/>
          <w:i/>
        </w:rPr>
        <w:t>at</w:t>
      </w:r>
      <w:r w:rsidRPr="00C32D81">
        <w:rPr>
          <w:rFonts w:ascii="Arial" w:hAnsi="Arial" w:cs="Arial"/>
          <w:b/>
        </w:rPr>
        <w:t xml:space="preserve"> the </w:t>
      </w:r>
      <w:r w:rsidR="00EA6C7C" w:rsidRPr="00C32D81">
        <w:rPr>
          <w:rFonts w:ascii="Arial" w:hAnsi="Arial" w:cs="Arial"/>
          <w:b/>
        </w:rPr>
        <w:t>End of Year 8</w:t>
      </w:r>
      <w:r w:rsidRPr="00C32D81">
        <w:rPr>
          <w:rFonts w:ascii="Arial" w:hAnsi="Arial" w:cs="Arial"/>
          <w:b/>
        </w:rPr>
        <w:t xml:space="preserve"> National Standard in reading and mathematics? </w:t>
      </w:r>
    </w:p>
    <w:p w14:paraId="13F409F9" w14:textId="35C12E49" w:rsidR="00770505" w:rsidRPr="00277BEC" w:rsidRDefault="00770505" w:rsidP="00AC2644">
      <w:pPr>
        <w:pStyle w:val="BodyText"/>
        <w:jc w:val="left"/>
        <w:rPr>
          <w:rFonts w:ascii="Arial" w:hAnsi="Arial" w:cs="Arial"/>
          <w:sz w:val="20"/>
        </w:rPr>
      </w:pPr>
      <w:r w:rsidRPr="00277BEC">
        <w:rPr>
          <w:rFonts w:ascii="Arial" w:hAnsi="Arial" w:cs="Arial"/>
        </w:rPr>
        <w:t xml:space="preserve">Table </w:t>
      </w:r>
      <w:r w:rsidR="000539A9" w:rsidRPr="00277BEC">
        <w:rPr>
          <w:rFonts w:ascii="Arial" w:hAnsi="Arial" w:cs="Arial"/>
        </w:rPr>
        <w:t>11</w:t>
      </w:r>
      <w:r w:rsidRPr="00277BEC">
        <w:rPr>
          <w:rFonts w:ascii="Arial" w:hAnsi="Arial" w:cs="Arial"/>
          <w:sz w:val="20"/>
        </w:rPr>
        <w:t xml:space="preserve"> </w:t>
      </w:r>
      <w:r w:rsidR="00434041" w:rsidRPr="00277BEC">
        <w:rPr>
          <w:rFonts w:ascii="Arial" w:hAnsi="Arial" w:cs="Arial"/>
        </w:rPr>
        <w:t>shows the distribution</w:t>
      </w:r>
      <w:r w:rsidRPr="00277BEC">
        <w:rPr>
          <w:rFonts w:ascii="Arial" w:hAnsi="Arial" w:cs="Arial"/>
        </w:rPr>
        <w:t xml:space="preserve"> of </w:t>
      </w:r>
      <w:r w:rsidR="00AC2644">
        <w:rPr>
          <w:rFonts w:ascii="Arial" w:hAnsi="Arial" w:cs="Arial"/>
        </w:rPr>
        <w:t>Y</w:t>
      </w:r>
      <w:r w:rsidR="000F11C5" w:rsidRPr="00277BEC">
        <w:rPr>
          <w:rFonts w:ascii="Arial" w:hAnsi="Arial" w:cs="Arial"/>
        </w:rPr>
        <w:t>ear</w:t>
      </w:r>
      <w:r w:rsidR="00434041" w:rsidRPr="00277BEC">
        <w:rPr>
          <w:rFonts w:ascii="Arial" w:hAnsi="Arial" w:cs="Arial"/>
        </w:rPr>
        <w:t xml:space="preserve"> 8 students in the school sample by numeracy step</w:t>
      </w:r>
      <w:r w:rsidRPr="00277BEC">
        <w:rPr>
          <w:rFonts w:ascii="Arial" w:hAnsi="Arial" w:cs="Arial"/>
        </w:rPr>
        <w:t xml:space="preserve"> for each </w:t>
      </w:r>
      <w:r w:rsidR="00434041" w:rsidRPr="00277BEC">
        <w:rPr>
          <w:rFonts w:ascii="Arial" w:hAnsi="Arial" w:cs="Arial"/>
        </w:rPr>
        <w:t>National Standards mathematics OTJ</w:t>
      </w:r>
      <w:r w:rsidRPr="00277BEC">
        <w:rPr>
          <w:rFonts w:ascii="Arial" w:hAnsi="Arial" w:cs="Arial"/>
        </w:rPr>
        <w:t xml:space="preserve"> category. The predominant categories for students judged to be </w:t>
      </w:r>
      <w:r w:rsidRPr="00277BEC">
        <w:rPr>
          <w:rFonts w:ascii="Arial" w:hAnsi="Arial" w:cs="Arial"/>
          <w:i/>
        </w:rPr>
        <w:t>well below</w:t>
      </w:r>
      <w:r w:rsidRPr="00277BEC">
        <w:rPr>
          <w:rFonts w:ascii="Arial" w:hAnsi="Arial" w:cs="Arial"/>
        </w:rPr>
        <w:t xml:space="preserve">, </w:t>
      </w:r>
      <w:r w:rsidRPr="00277BEC">
        <w:rPr>
          <w:rFonts w:ascii="Arial" w:hAnsi="Arial" w:cs="Arial"/>
          <w:i/>
        </w:rPr>
        <w:t>below</w:t>
      </w:r>
      <w:r w:rsidRPr="00277BEC">
        <w:rPr>
          <w:rFonts w:ascii="Arial" w:hAnsi="Arial" w:cs="Arial"/>
        </w:rPr>
        <w:t xml:space="preserve">, </w:t>
      </w:r>
      <w:r w:rsidRPr="00277BEC">
        <w:rPr>
          <w:rFonts w:ascii="Arial" w:hAnsi="Arial" w:cs="Arial"/>
          <w:i/>
        </w:rPr>
        <w:t>at</w:t>
      </w:r>
      <w:r w:rsidRPr="00277BEC">
        <w:rPr>
          <w:rFonts w:ascii="Arial" w:hAnsi="Arial" w:cs="Arial"/>
        </w:rPr>
        <w:t xml:space="preserve"> and </w:t>
      </w:r>
      <w:r w:rsidRPr="00277BEC">
        <w:rPr>
          <w:rFonts w:ascii="Arial" w:hAnsi="Arial" w:cs="Arial"/>
          <w:i/>
        </w:rPr>
        <w:t>above</w:t>
      </w:r>
      <w:r w:rsidRPr="00277BEC">
        <w:rPr>
          <w:rFonts w:ascii="Arial" w:hAnsi="Arial" w:cs="Arial"/>
        </w:rPr>
        <w:t xml:space="preserve"> the standards were </w:t>
      </w:r>
      <w:r w:rsidR="00AC2644">
        <w:rPr>
          <w:rFonts w:ascii="Arial" w:hAnsi="Arial" w:cs="Arial"/>
        </w:rPr>
        <w:t>S</w:t>
      </w:r>
      <w:r w:rsidRPr="00277BEC">
        <w:rPr>
          <w:rFonts w:ascii="Arial" w:hAnsi="Arial" w:cs="Arial"/>
        </w:rPr>
        <w:t xml:space="preserve">teps 2, 3, 4 and 5 respectively, with the majority of the remainder in each </w:t>
      </w:r>
      <w:proofErr w:type="gramStart"/>
      <w:r w:rsidRPr="00277BEC">
        <w:rPr>
          <w:rFonts w:ascii="Arial" w:hAnsi="Arial" w:cs="Arial"/>
        </w:rPr>
        <w:t>standards</w:t>
      </w:r>
      <w:proofErr w:type="gramEnd"/>
      <w:r w:rsidRPr="00277BEC">
        <w:rPr>
          <w:rFonts w:ascii="Arial" w:hAnsi="Arial" w:cs="Arial"/>
        </w:rPr>
        <w:t xml:space="preserve"> category </w:t>
      </w:r>
      <w:r w:rsidR="001D320A" w:rsidRPr="00277BEC">
        <w:rPr>
          <w:rFonts w:ascii="Arial" w:hAnsi="Arial" w:cs="Arial"/>
        </w:rPr>
        <w:t>reasonably</w:t>
      </w:r>
      <w:r w:rsidRPr="00277BEC">
        <w:rPr>
          <w:rFonts w:ascii="Arial" w:hAnsi="Arial" w:cs="Arial"/>
        </w:rPr>
        <w:t xml:space="preserve"> evenly split between being a step lower and a step higher.</w:t>
      </w:r>
    </w:p>
    <w:p w14:paraId="142F421E" w14:textId="4F19824E" w:rsidR="00CC14B7" w:rsidRPr="00277BEC" w:rsidRDefault="00CC14B7" w:rsidP="00AC2644">
      <w:pPr>
        <w:pStyle w:val="Caption"/>
        <w:jc w:val="left"/>
        <w:rPr>
          <w:rFonts w:cs="Arial"/>
        </w:rPr>
      </w:pPr>
      <w:bookmarkStart w:id="59" w:name="_Toc270604928"/>
      <w:r w:rsidRPr="00277BEC">
        <w:rPr>
          <w:rFonts w:cs="Arial"/>
          <w:b/>
        </w:rPr>
        <w:t xml:space="preserve">Table </w:t>
      </w:r>
      <w:r w:rsidR="00D71DDD" w:rsidRPr="00277BEC">
        <w:rPr>
          <w:rFonts w:cs="Arial"/>
          <w:b/>
        </w:rPr>
        <w:fldChar w:fldCharType="begin"/>
      </w:r>
      <w:r w:rsidRPr="00277BEC">
        <w:rPr>
          <w:rFonts w:cs="Arial"/>
          <w:b/>
        </w:rPr>
        <w:instrText xml:space="preserve"> SEQ Table \* ARABIC </w:instrText>
      </w:r>
      <w:r w:rsidR="00D71DDD" w:rsidRPr="00277BEC">
        <w:rPr>
          <w:rFonts w:cs="Arial"/>
          <w:b/>
        </w:rPr>
        <w:fldChar w:fldCharType="separate"/>
      </w:r>
      <w:r w:rsidR="00277BEC" w:rsidRPr="00277BEC">
        <w:rPr>
          <w:rFonts w:cs="Arial"/>
          <w:b/>
          <w:noProof/>
        </w:rPr>
        <w:t>11</w:t>
      </w:r>
      <w:r w:rsidR="00D71DDD" w:rsidRPr="00277BEC">
        <w:rPr>
          <w:rFonts w:cs="Arial"/>
          <w:b/>
        </w:rPr>
        <w:fldChar w:fldCharType="end"/>
      </w:r>
      <w:r w:rsidR="00F67A2A" w:rsidRPr="00277BEC">
        <w:rPr>
          <w:rFonts w:cs="Arial"/>
        </w:rPr>
        <w:t xml:space="preserve"> </w:t>
      </w:r>
      <w:r w:rsidR="006938E1" w:rsidRPr="00277BEC">
        <w:rPr>
          <w:rFonts w:cs="Arial"/>
        </w:rPr>
        <w:t>Distributions</w:t>
      </w:r>
      <w:r w:rsidRPr="00277BEC">
        <w:rPr>
          <w:rFonts w:cs="Arial"/>
        </w:rPr>
        <w:t xml:space="preserve"> on the numeracy steps of </w:t>
      </w:r>
      <w:r w:rsidR="000F11C5" w:rsidRPr="00277BEC">
        <w:rPr>
          <w:rFonts w:cs="Arial"/>
        </w:rPr>
        <w:t>year</w:t>
      </w:r>
      <w:r w:rsidRPr="00277BEC">
        <w:rPr>
          <w:rFonts w:cs="Arial"/>
        </w:rPr>
        <w:t xml:space="preserve"> 8 students in the school sample judged </w:t>
      </w:r>
      <w:r w:rsidRPr="00277BEC">
        <w:rPr>
          <w:rFonts w:cs="Arial"/>
          <w:i/>
        </w:rPr>
        <w:t>well below</w:t>
      </w:r>
      <w:r w:rsidRPr="00277BEC">
        <w:rPr>
          <w:rFonts w:cs="Arial"/>
        </w:rPr>
        <w:t xml:space="preserve">, </w:t>
      </w:r>
      <w:r w:rsidRPr="00277BEC">
        <w:rPr>
          <w:rFonts w:cs="Arial"/>
          <w:i/>
        </w:rPr>
        <w:t>below</w:t>
      </w:r>
      <w:r w:rsidRPr="00277BEC">
        <w:rPr>
          <w:rFonts w:cs="Arial"/>
        </w:rPr>
        <w:t xml:space="preserve">, </w:t>
      </w:r>
      <w:r w:rsidRPr="00277BEC">
        <w:rPr>
          <w:rFonts w:cs="Arial"/>
          <w:i/>
        </w:rPr>
        <w:t>a</w:t>
      </w:r>
      <w:r w:rsidRPr="00277BEC">
        <w:rPr>
          <w:rFonts w:cs="Arial"/>
        </w:rPr>
        <w:t xml:space="preserve">t and </w:t>
      </w:r>
      <w:r w:rsidRPr="00277BEC">
        <w:rPr>
          <w:rFonts w:cs="Arial"/>
          <w:i/>
        </w:rPr>
        <w:t>above</w:t>
      </w:r>
      <w:r w:rsidRPr="00277BEC">
        <w:rPr>
          <w:rFonts w:cs="Arial"/>
        </w:rPr>
        <w:t xml:space="preserve"> the </w:t>
      </w:r>
      <w:r w:rsidR="00EA6C7C" w:rsidRPr="00277BEC">
        <w:rPr>
          <w:rFonts w:cs="Arial"/>
        </w:rPr>
        <w:t>End of Year 8</w:t>
      </w:r>
      <w:r w:rsidR="00434041" w:rsidRPr="00277BEC">
        <w:rPr>
          <w:rFonts w:cs="Arial"/>
        </w:rPr>
        <w:t xml:space="preserve"> Mathematics </w:t>
      </w:r>
      <w:r w:rsidR="001C17F8" w:rsidRPr="00277BEC">
        <w:rPr>
          <w:rFonts w:cs="Arial"/>
        </w:rPr>
        <w:t>Standard</w:t>
      </w:r>
      <w:r w:rsidR="000C437E" w:rsidRPr="00277BEC">
        <w:rPr>
          <w:rFonts w:cs="Arial"/>
        </w:rPr>
        <w:t>.</w:t>
      </w:r>
      <w:bookmarkEnd w:id="59"/>
    </w:p>
    <w:tbl>
      <w:tblPr>
        <w:tblW w:w="8505"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726"/>
        <w:gridCol w:w="1892"/>
        <w:gridCol w:w="1581"/>
        <w:gridCol w:w="1581"/>
        <w:gridCol w:w="1725"/>
      </w:tblGrid>
      <w:tr w:rsidR="00CC14B7" w:rsidRPr="00277BEC" w14:paraId="1C5D13D4" w14:textId="77777777" w:rsidTr="00F94E4D">
        <w:trPr>
          <w:trHeight w:val="600"/>
          <w:tblCellSpacing w:w="20" w:type="dxa"/>
        </w:trPr>
        <w:tc>
          <w:tcPr>
            <w:tcW w:w="1040" w:type="dxa"/>
            <w:shd w:val="clear" w:color="auto" w:fill="auto"/>
            <w:vAlign w:val="bottom"/>
            <w:hideMark/>
          </w:tcPr>
          <w:p w14:paraId="74083643" w14:textId="77777777" w:rsidR="00CC14B7" w:rsidRPr="00277BEC" w:rsidRDefault="00CC14B7" w:rsidP="00F94E4D">
            <w:pPr>
              <w:pStyle w:val="Tabletext"/>
              <w:rPr>
                <w:lang w:eastAsia="en-NZ"/>
              </w:rPr>
            </w:pPr>
            <w:r w:rsidRPr="00277BEC">
              <w:rPr>
                <w:lang w:eastAsia="en-NZ"/>
              </w:rPr>
              <w:t>Numeracy Step</w:t>
            </w:r>
          </w:p>
        </w:tc>
        <w:tc>
          <w:tcPr>
            <w:tcW w:w="1160" w:type="dxa"/>
            <w:shd w:val="clear" w:color="auto" w:fill="auto"/>
            <w:noWrap/>
            <w:vAlign w:val="bottom"/>
            <w:hideMark/>
          </w:tcPr>
          <w:p w14:paraId="7A169F79" w14:textId="77777777" w:rsidR="00CC14B7" w:rsidRPr="00277BEC" w:rsidRDefault="00CC14B7" w:rsidP="00F94E4D">
            <w:pPr>
              <w:pStyle w:val="Tabletext"/>
              <w:rPr>
                <w:lang w:eastAsia="en-NZ"/>
              </w:rPr>
            </w:pPr>
            <w:r w:rsidRPr="00277BEC">
              <w:rPr>
                <w:lang w:eastAsia="en-NZ"/>
              </w:rPr>
              <w:t>Well Below</w:t>
            </w:r>
          </w:p>
        </w:tc>
        <w:tc>
          <w:tcPr>
            <w:tcW w:w="960" w:type="dxa"/>
            <w:shd w:val="clear" w:color="auto" w:fill="auto"/>
            <w:noWrap/>
            <w:vAlign w:val="bottom"/>
            <w:hideMark/>
          </w:tcPr>
          <w:p w14:paraId="50F0DDF7" w14:textId="77777777" w:rsidR="00CC14B7" w:rsidRPr="00277BEC" w:rsidRDefault="00CC14B7" w:rsidP="00F94E4D">
            <w:pPr>
              <w:pStyle w:val="Tabletext"/>
              <w:rPr>
                <w:lang w:eastAsia="en-NZ"/>
              </w:rPr>
            </w:pPr>
            <w:r w:rsidRPr="00277BEC">
              <w:rPr>
                <w:lang w:eastAsia="en-NZ"/>
              </w:rPr>
              <w:t>Below</w:t>
            </w:r>
          </w:p>
        </w:tc>
        <w:tc>
          <w:tcPr>
            <w:tcW w:w="960" w:type="dxa"/>
            <w:shd w:val="clear" w:color="auto" w:fill="auto"/>
            <w:noWrap/>
            <w:vAlign w:val="bottom"/>
            <w:hideMark/>
          </w:tcPr>
          <w:p w14:paraId="4380340F" w14:textId="77777777" w:rsidR="00CC14B7" w:rsidRPr="00277BEC" w:rsidRDefault="00CC14B7" w:rsidP="00F94E4D">
            <w:pPr>
              <w:pStyle w:val="Tabletext"/>
              <w:rPr>
                <w:lang w:eastAsia="en-NZ"/>
              </w:rPr>
            </w:pPr>
            <w:r w:rsidRPr="00277BEC">
              <w:rPr>
                <w:lang w:eastAsia="en-NZ"/>
              </w:rPr>
              <w:t>At</w:t>
            </w:r>
          </w:p>
        </w:tc>
        <w:tc>
          <w:tcPr>
            <w:tcW w:w="1040" w:type="dxa"/>
            <w:shd w:val="clear" w:color="auto" w:fill="auto"/>
            <w:noWrap/>
            <w:vAlign w:val="bottom"/>
            <w:hideMark/>
          </w:tcPr>
          <w:p w14:paraId="2859E96F" w14:textId="77777777" w:rsidR="00CC14B7" w:rsidRPr="00277BEC" w:rsidRDefault="00CC14B7" w:rsidP="00F94E4D">
            <w:pPr>
              <w:pStyle w:val="Tabletext"/>
              <w:rPr>
                <w:lang w:eastAsia="en-NZ"/>
              </w:rPr>
            </w:pPr>
            <w:r w:rsidRPr="00277BEC">
              <w:rPr>
                <w:lang w:eastAsia="en-NZ"/>
              </w:rPr>
              <w:t>Above</w:t>
            </w:r>
          </w:p>
        </w:tc>
      </w:tr>
      <w:tr w:rsidR="00CC14B7" w:rsidRPr="00277BEC" w14:paraId="3A41C9DB" w14:textId="77777777" w:rsidTr="00F94E4D">
        <w:trPr>
          <w:trHeight w:val="300"/>
          <w:tblCellSpacing w:w="20" w:type="dxa"/>
        </w:trPr>
        <w:tc>
          <w:tcPr>
            <w:tcW w:w="1040" w:type="dxa"/>
            <w:shd w:val="clear" w:color="auto" w:fill="auto"/>
            <w:noWrap/>
            <w:vAlign w:val="bottom"/>
            <w:hideMark/>
          </w:tcPr>
          <w:p w14:paraId="39CE70F3" w14:textId="77777777" w:rsidR="00CC14B7" w:rsidRPr="00277BEC" w:rsidRDefault="00CC14B7" w:rsidP="00F94E4D">
            <w:pPr>
              <w:pStyle w:val="Tabletext"/>
              <w:rPr>
                <w:lang w:eastAsia="en-NZ"/>
              </w:rPr>
            </w:pPr>
            <w:r w:rsidRPr="00277BEC">
              <w:rPr>
                <w:lang w:eastAsia="en-NZ"/>
              </w:rPr>
              <w:t>1</w:t>
            </w:r>
          </w:p>
        </w:tc>
        <w:tc>
          <w:tcPr>
            <w:tcW w:w="1160" w:type="dxa"/>
            <w:shd w:val="clear" w:color="auto" w:fill="auto"/>
            <w:noWrap/>
            <w:vAlign w:val="bottom"/>
            <w:hideMark/>
          </w:tcPr>
          <w:p w14:paraId="3FCFF850" w14:textId="77777777" w:rsidR="00CC14B7" w:rsidRPr="00277BEC" w:rsidRDefault="00CC14B7" w:rsidP="00F94E4D">
            <w:pPr>
              <w:pStyle w:val="Tabletext"/>
              <w:rPr>
                <w:lang w:eastAsia="en-NZ"/>
              </w:rPr>
            </w:pPr>
            <w:r w:rsidRPr="00277BEC">
              <w:rPr>
                <w:lang w:eastAsia="en-NZ"/>
              </w:rPr>
              <w:t>24.5</w:t>
            </w:r>
          </w:p>
        </w:tc>
        <w:tc>
          <w:tcPr>
            <w:tcW w:w="960" w:type="dxa"/>
            <w:shd w:val="clear" w:color="auto" w:fill="auto"/>
            <w:noWrap/>
            <w:vAlign w:val="bottom"/>
            <w:hideMark/>
          </w:tcPr>
          <w:p w14:paraId="2875ED54" w14:textId="77777777" w:rsidR="00CC14B7" w:rsidRPr="00277BEC" w:rsidRDefault="00CC14B7" w:rsidP="00F94E4D">
            <w:pPr>
              <w:pStyle w:val="Tabletext"/>
              <w:rPr>
                <w:lang w:eastAsia="en-NZ"/>
              </w:rPr>
            </w:pPr>
            <w:r w:rsidRPr="00277BEC">
              <w:rPr>
                <w:lang w:eastAsia="en-NZ"/>
              </w:rPr>
              <w:t>4.7</w:t>
            </w:r>
          </w:p>
        </w:tc>
        <w:tc>
          <w:tcPr>
            <w:tcW w:w="960" w:type="dxa"/>
            <w:shd w:val="clear" w:color="auto" w:fill="auto"/>
            <w:noWrap/>
            <w:vAlign w:val="bottom"/>
            <w:hideMark/>
          </w:tcPr>
          <w:p w14:paraId="4F1E884E" w14:textId="77777777" w:rsidR="00CC14B7" w:rsidRPr="00277BEC" w:rsidRDefault="00CC14B7" w:rsidP="00F94E4D">
            <w:pPr>
              <w:pStyle w:val="Tabletext"/>
              <w:rPr>
                <w:lang w:eastAsia="en-NZ"/>
              </w:rPr>
            </w:pPr>
            <w:r w:rsidRPr="00277BEC">
              <w:rPr>
                <w:lang w:eastAsia="en-NZ"/>
              </w:rPr>
              <w:t>1.1</w:t>
            </w:r>
          </w:p>
        </w:tc>
        <w:tc>
          <w:tcPr>
            <w:tcW w:w="1040" w:type="dxa"/>
            <w:shd w:val="clear" w:color="auto" w:fill="auto"/>
            <w:noWrap/>
            <w:vAlign w:val="bottom"/>
            <w:hideMark/>
          </w:tcPr>
          <w:p w14:paraId="615FFB8A" w14:textId="77777777" w:rsidR="00CC14B7" w:rsidRPr="00277BEC" w:rsidRDefault="00CC14B7" w:rsidP="00F94E4D">
            <w:pPr>
              <w:pStyle w:val="Tabletext"/>
              <w:rPr>
                <w:lang w:eastAsia="en-NZ"/>
              </w:rPr>
            </w:pPr>
            <w:r w:rsidRPr="00277BEC">
              <w:rPr>
                <w:lang w:eastAsia="en-NZ"/>
              </w:rPr>
              <w:t>0.3</w:t>
            </w:r>
          </w:p>
        </w:tc>
      </w:tr>
      <w:tr w:rsidR="00CC14B7" w:rsidRPr="00277BEC" w14:paraId="64B25D7C" w14:textId="77777777" w:rsidTr="00F94E4D">
        <w:trPr>
          <w:trHeight w:val="300"/>
          <w:tblCellSpacing w:w="20" w:type="dxa"/>
        </w:trPr>
        <w:tc>
          <w:tcPr>
            <w:tcW w:w="1040" w:type="dxa"/>
            <w:shd w:val="clear" w:color="auto" w:fill="auto"/>
            <w:noWrap/>
            <w:vAlign w:val="bottom"/>
            <w:hideMark/>
          </w:tcPr>
          <w:p w14:paraId="08E99F8B" w14:textId="77777777" w:rsidR="00CC14B7" w:rsidRPr="00277BEC" w:rsidRDefault="00CC14B7" w:rsidP="00F94E4D">
            <w:pPr>
              <w:pStyle w:val="Tabletext"/>
              <w:rPr>
                <w:lang w:eastAsia="en-NZ"/>
              </w:rPr>
            </w:pPr>
            <w:r w:rsidRPr="00277BEC">
              <w:rPr>
                <w:lang w:eastAsia="en-NZ"/>
              </w:rPr>
              <w:t>2</w:t>
            </w:r>
          </w:p>
        </w:tc>
        <w:tc>
          <w:tcPr>
            <w:tcW w:w="1160" w:type="dxa"/>
            <w:shd w:val="clear" w:color="auto" w:fill="auto"/>
            <w:noWrap/>
            <w:vAlign w:val="bottom"/>
            <w:hideMark/>
          </w:tcPr>
          <w:p w14:paraId="059A47D4" w14:textId="77777777" w:rsidR="00CC14B7" w:rsidRPr="00277BEC" w:rsidRDefault="00CC14B7" w:rsidP="00F94E4D">
            <w:pPr>
              <w:pStyle w:val="Tabletext"/>
              <w:rPr>
                <w:lang w:eastAsia="en-NZ"/>
              </w:rPr>
            </w:pPr>
            <w:r w:rsidRPr="00277BEC">
              <w:rPr>
                <w:lang w:eastAsia="en-NZ"/>
              </w:rPr>
              <w:t>39.6</w:t>
            </w:r>
          </w:p>
        </w:tc>
        <w:tc>
          <w:tcPr>
            <w:tcW w:w="960" w:type="dxa"/>
            <w:shd w:val="clear" w:color="auto" w:fill="auto"/>
            <w:noWrap/>
            <w:vAlign w:val="bottom"/>
            <w:hideMark/>
          </w:tcPr>
          <w:p w14:paraId="0AC24990" w14:textId="77777777" w:rsidR="00CC14B7" w:rsidRPr="00277BEC" w:rsidRDefault="00CC14B7" w:rsidP="00F94E4D">
            <w:pPr>
              <w:pStyle w:val="Tabletext"/>
              <w:rPr>
                <w:lang w:eastAsia="en-NZ"/>
              </w:rPr>
            </w:pPr>
            <w:r w:rsidRPr="00277BEC">
              <w:rPr>
                <w:lang w:eastAsia="en-NZ"/>
              </w:rPr>
              <w:t>20.0</w:t>
            </w:r>
          </w:p>
        </w:tc>
        <w:tc>
          <w:tcPr>
            <w:tcW w:w="960" w:type="dxa"/>
            <w:shd w:val="clear" w:color="auto" w:fill="auto"/>
            <w:noWrap/>
            <w:vAlign w:val="bottom"/>
            <w:hideMark/>
          </w:tcPr>
          <w:p w14:paraId="5A8CDFF8" w14:textId="77777777" w:rsidR="00CC14B7" w:rsidRPr="00277BEC" w:rsidRDefault="00CC14B7" w:rsidP="00F94E4D">
            <w:pPr>
              <w:pStyle w:val="Tabletext"/>
              <w:rPr>
                <w:lang w:eastAsia="en-NZ"/>
              </w:rPr>
            </w:pPr>
            <w:r w:rsidRPr="00277BEC">
              <w:rPr>
                <w:lang w:eastAsia="en-NZ"/>
              </w:rPr>
              <w:t>3.6</w:t>
            </w:r>
          </w:p>
        </w:tc>
        <w:tc>
          <w:tcPr>
            <w:tcW w:w="1040" w:type="dxa"/>
            <w:shd w:val="clear" w:color="auto" w:fill="auto"/>
            <w:noWrap/>
            <w:vAlign w:val="bottom"/>
            <w:hideMark/>
          </w:tcPr>
          <w:p w14:paraId="697911F2" w14:textId="77777777" w:rsidR="00CC14B7" w:rsidRPr="00277BEC" w:rsidRDefault="00CC14B7" w:rsidP="00F94E4D">
            <w:pPr>
              <w:pStyle w:val="Tabletext"/>
              <w:rPr>
                <w:lang w:eastAsia="en-NZ"/>
              </w:rPr>
            </w:pPr>
            <w:r w:rsidRPr="00277BEC">
              <w:rPr>
                <w:lang w:eastAsia="en-NZ"/>
              </w:rPr>
              <w:t>0.7</w:t>
            </w:r>
          </w:p>
        </w:tc>
      </w:tr>
      <w:tr w:rsidR="00CC14B7" w:rsidRPr="00277BEC" w14:paraId="3284AB94" w14:textId="77777777" w:rsidTr="00F94E4D">
        <w:trPr>
          <w:trHeight w:val="300"/>
          <w:tblCellSpacing w:w="20" w:type="dxa"/>
        </w:trPr>
        <w:tc>
          <w:tcPr>
            <w:tcW w:w="1040" w:type="dxa"/>
            <w:shd w:val="clear" w:color="auto" w:fill="auto"/>
            <w:noWrap/>
            <w:vAlign w:val="bottom"/>
            <w:hideMark/>
          </w:tcPr>
          <w:p w14:paraId="29B93F75" w14:textId="77777777" w:rsidR="00CC14B7" w:rsidRPr="00277BEC" w:rsidRDefault="00CC14B7" w:rsidP="00F94E4D">
            <w:pPr>
              <w:pStyle w:val="Tabletext"/>
              <w:rPr>
                <w:lang w:eastAsia="en-NZ"/>
              </w:rPr>
            </w:pPr>
            <w:r w:rsidRPr="00277BEC">
              <w:rPr>
                <w:lang w:eastAsia="en-NZ"/>
              </w:rPr>
              <w:t>3</w:t>
            </w:r>
          </w:p>
        </w:tc>
        <w:tc>
          <w:tcPr>
            <w:tcW w:w="1160" w:type="dxa"/>
            <w:shd w:val="clear" w:color="auto" w:fill="auto"/>
            <w:noWrap/>
            <w:vAlign w:val="bottom"/>
            <w:hideMark/>
          </w:tcPr>
          <w:p w14:paraId="42C42413" w14:textId="77777777" w:rsidR="00CC14B7" w:rsidRPr="00277BEC" w:rsidRDefault="00CC14B7" w:rsidP="00F94E4D">
            <w:pPr>
              <w:pStyle w:val="Tabletext"/>
              <w:rPr>
                <w:lang w:eastAsia="en-NZ"/>
              </w:rPr>
            </w:pPr>
            <w:r w:rsidRPr="00277BEC">
              <w:rPr>
                <w:lang w:eastAsia="en-NZ"/>
              </w:rPr>
              <w:t>34.0</w:t>
            </w:r>
          </w:p>
        </w:tc>
        <w:tc>
          <w:tcPr>
            <w:tcW w:w="960" w:type="dxa"/>
            <w:shd w:val="clear" w:color="auto" w:fill="auto"/>
            <w:noWrap/>
            <w:vAlign w:val="bottom"/>
            <w:hideMark/>
          </w:tcPr>
          <w:p w14:paraId="79A8CC0F" w14:textId="77777777" w:rsidR="00CC14B7" w:rsidRPr="00277BEC" w:rsidRDefault="00CC14B7" w:rsidP="00F94E4D">
            <w:pPr>
              <w:pStyle w:val="Tabletext"/>
              <w:rPr>
                <w:lang w:eastAsia="en-NZ"/>
              </w:rPr>
            </w:pPr>
            <w:r w:rsidRPr="00277BEC">
              <w:rPr>
                <w:lang w:eastAsia="en-NZ"/>
              </w:rPr>
              <w:t>42.6</w:t>
            </w:r>
          </w:p>
        </w:tc>
        <w:tc>
          <w:tcPr>
            <w:tcW w:w="960" w:type="dxa"/>
            <w:shd w:val="clear" w:color="auto" w:fill="auto"/>
            <w:noWrap/>
            <w:vAlign w:val="bottom"/>
            <w:hideMark/>
          </w:tcPr>
          <w:p w14:paraId="5BA94F83" w14:textId="77777777" w:rsidR="00CC14B7" w:rsidRPr="00277BEC" w:rsidRDefault="00CC14B7" w:rsidP="00F94E4D">
            <w:pPr>
              <w:pStyle w:val="Tabletext"/>
              <w:rPr>
                <w:lang w:eastAsia="en-NZ"/>
              </w:rPr>
            </w:pPr>
            <w:r w:rsidRPr="00277BEC">
              <w:rPr>
                <w:lang w:eastAsia="en-NZ"/>
              </w:rPr>
              <w:t>22.0</w:t>
            </w:r>
          </w:p>
        </w:tc>
        <w:tc>
          <w:tcPr>
            <w:tcW w:w="1040" w:type="dxa"/>
            <w:shd w:val="clear" w:color="auto" w:fill="auto"/>
            <w:noWrap/>
            <w:vAlign w:val="bottom"/>
            <w:hideMark/>
          </w:tcPr>
          <w:p w14:paraId="095C3C5F" w14:textId="77777777" w:rsidR="00CC14B7" w:rsidRPr="00277BEC" w:rsidRDefault="00CC14B7" w:rsidP="00F94E4D">
            <w:pPr>
              <w:pStyle w:val="Tabletext"/>
              <w:rPr>
                <w:lang w:eastAsia="en-NZ"/>
              </w:rPr>
            </w:pPr>
            <w:r w:rsidRPr="00277BEC">
              <w:rPr>
                <w:lang w:eastAsia="en-NZ"/>
              </w:rPr>
              <w:t>2.7</w:t>
            </w:r>
          </w:p>
        </w:tc>
      </w:tr>
      <w:tr w:rsidR="00CC14B7" w:rsidRPr="00277BEC" w14:paraId="6F379D97" w14:textId="77777777" w:rsidTr="00F94E4D">
        <w:trPr>
          <w:trHeight w:val="300"/>
          <w:tblCellSpacing w:w="20" w:type="dxa"/>
        </w:trPr>
        <w:tc>
          <w:tcPr>
            <w:tcW w:w="1040" w:type="dxa"/>
            <w:shd w:val="clear" w:color="auto" w:fill="auto"/>
            <w:noWrap/>
            <w:vAlign w:val="bottom"/>
            <w:hideMark/>
          </w:tcPr>
          <w:p w14:paraId="26B726E8" w14:textId="77777777" w:rsidR="00CC14B7" w:rsidRPr="00277BEC" w:rsidRDefault="00CC14B7" w:rsidP="00F94E4D">
            <w:pPr>
              <w:pStyle w:val="Tabletext"/>
              <w:rPr>
                <w:lang w:eastAsia="en-NZ"/>
              </w:rPr>
            </w:pPr>
            <w:r w:rsidRPr="00277BEC">
              <w:rPr>
                <w:lang w:eastAsia="en-NZ"/>
              </w:rPr>
              <w:t>4</w:t>
            </w:r>
          </w:p>
        </w:tc>
        <w:tc>
          <w:tcPr>
            <w:tcW w:w="1160" w:type="dxa"/>
            <w:shd w:val="clear" w:color="auto" w:fill="auto"/>
            <w:noWrap/>
            <w:vAlign w:val="bottom"/>
            <w:hideMark/>
          </w:tcPr>
          <w:p w14:paraId="5B5C5976" w14:textId="77777777" w:rsidR="00CC14B7" w:rsidRPr="00277BEC" w:rsidRDefault="00CC14B7" w:rsidP="00F94E4D">
            <w:pPr>
              <w:pStyle w:val="Tabletext"/>
              <w:rPr>
                <w:lang w:eastAsia="en-NZ"/>
              </w:rPr>
            </w:pPr>
            <w:r w:rsidRPr="00277BEC">
              <w:rPr>
                <w:lang w:eastAsia="en-NZ"/>
              </w:rPr>
              <w:t>1.9</w:t>
            </w:r>
          </w:p>
        </w:tc>
        <w:tc>
          <w:tcPr>
            <w:tcW w:w="960" w:type="dxa"/>
            <w:shd w:val="clear" w:color="auto" w:fill="auto"/>
            <w:noWrap/>
            <w:vAlign w:val="bottom"/>
            <w:hideMark/>
          </w:tcPr>
          <w:p w14:paraId="00E0F324" w14:textId="77777777" w:rsidR="00CC14B7" w:rsidRPr="00277BEC" w:rsidRDefault="00CC14B7" w:rsidP="00F94E4D">
            <w:pPr>
              <w:pStyle w:val="Tabletext"/>
              <w:rPr>
                <w:lang w:eastAsia="en-NZ"/>
              </w:rPr>
            </w:pPr>
            <w:r w:rsidRPr="00277BEC">
              <w:rPr>
                <w:lang w:eastAsia="en-NZ"/>
              </w:rPr>
              <w:t>29.5</w:t>
            </w:r>
          </w:p>
        </w:tc>
        <w:tc>
          <w:tcPr>
            <w:tcW w:w="960" w:type="dxa"/>
            <w:shd w:val="clear" w:color="auto" w:fill="auto"/>
            <w:noWrap/>
            <w:vAlign w:val="bottom"/>
            <w:hideMark/>
          </w:tcPr>
          <w:p w14:paraId="50DC5570" w14:textId="77777777" w:rsidR="00CC14B7" w:rsidRPr="00277BEC" w:rsidRDefault="00CC14B7" w:rsidP="00F94E4D">
            <w:pPr>
              <w:pStyle w:val="Tabletext"/>
              <w:rPr>
                <w:lang w:eastAsia="en-NZ"/>
              </w:rPr>
            </w:pPr>
            <w:r w:rsidRPr="00277BEC">
              <w:rPr>
                <w:lang w:eastAsia="en-NZ"/>
              </w:rPr>
              <w:t>49.9</w:t>
            </w:r>
          </w:p>
        </w:tc>
        <w:tc>
          <w:tcPr>
            <w:tcW w:w="1040" w:type="dxa"/>
            <w:shd w:val="clear" w:color="auto" w:fill="auto"/>
            <w:noWrap/>
            <w:vAlign w:val="bottom"/>
            <w:hideMark/>
          </w:tcPr>
          <w:p w14:paraId="2FC68DB8" w14:textId="77777777" w:rsidR="00CC14B7" w:rsidRPr="00277BEC" w:rsidRDefault="00CC14B7" w:rsidP="00F94E4D">
            <w:pPr>
              <w:pStyle w:val="Tabletext"/>
              <w:rPr>
                <w:lang w:eastAsia="en-NZ"/>
              </w:rPr>
            </w:pPr>
            <w:r w:rsidRPr="00277BEC">
              <w:rPr>
                <w:lang w:eastAsia="en-NZ"/>
              </w:rPr>
              <w:t>22.1</w:t>
            </w:r>
          </w:p>
        </w:tc>
      </w:tr>
      <w:tr w:rsidR="00CC14B7" w:rsidRPr="00277BEC" w14:paraId="674C0464" w14:textId="77777777" w:rsidTr="00F94E4D">
        <w:trPr>
          <w:trHeight w:val="300"/>
          <w:tblCellSpacing w:w="20" w:type="dxa"/>
        </w:trPr>
        <w:tc>
          <w:tcPr>
            <w:tcW w:w="1040" w:type="dxa"/>
            <w:shd w:val="clear" w:color="auto" w:fill="auto"/>
            <w:noWrap/>
            <w:vAlign w:val="bottom"/>
            <w:hideMark/>
          </w:tcPr>
          <w:p w14:paraId="43A58A37" w14:textId="77777777" w:rsidR="00CC14B7" w:rsidRPr="00277BEC" w:rsidRDefault="00CC14B7" w:rsidP="00F94E4D">
            <w:pPr>
              <w:pStyle w:val="Tabletext"/>
              <w:rPr>
                <w:lang w:eastAsia="en-NZ"/>
              </w:rPr>
            </w:pPr>
            <w:r w:rsidRPr="00277BEC">
              <w:rPr>
                <w:lang w:eastAsia="en-NZ"/>
              </w:rPr>
              <w:t>5</w:t>
            </w:r>
          </w:p>
        </w:tc>
        <w:tc>
          <w:tcPr>
            <w:tcW w:w="1160" w:type="dxa"/>
            <w:shd w:val="clear" w:color="auto" w:fill="auto"/>
            <w:noWrap/>
            <w:vAlign w:val="bottom"/>
            <w:hideMark/>
          </w:tcPr>
          <w:p w14:paraId="40B42A3C" w14:textId="77777777" w:rsidR="00CC14B7" w:rsidRPr="00277BEC" w:rsidRDefault="00CC14B7" w:rsidP="00F94E4D">
            <w:pPr>
              <w:pStyle w:val="Tabletext"/>
              <w:rPr>
                <w:lang w:eastAsia="en-NZ"/>
              </w:rPr>
            </w:pPr>
            <w:r w:rsidRPr="00277BEC">
              <w:rPr>
                <w:lang w:eastAsia="en-NZ"/>
              </w:rPr>
              <w:t>0.0</w:t>
            </w:r>
          </w:p>
        </w:tc>
        <w:tc>
          <w:tcPr>
            <w:tcW w:w="960" w:type="dxa"/>
            <w:shd w:val="clear" w:color="auto" w:fill="auto"/>
            <w:noWrap/>
            <w:vAlign w:val="bottom"/>
            <w:hideMark/>
          </w:tcPr>
          <w:p w14:paraId="5AC519DC" w14:textId="77777777" w:rsidR="00CC14B7" w:rsidRPr="00277BEC" w:rsidRDefault="00CC14B7" w:rsidP="00F94E4D">
            <w:pPr>
              <w:pStyle w:val="Tabletext"/>
              <w:rPr>
                <w:lang w:eastAsia="en-NZ"/>
              </w:rPr>
            </w:pPr>
            <w:r w:rsidRPr="00277BEC">
              <w:rPr>
                <w:lang w:eastAsia="en-NZ"/>
              </w:rPr>
              <w:t>3.2</w:t>
            </w:r>
          </w:p>
        </w:tc>
        <w:tc>
          <w:tcPr>
            <w:tcW w:w="960" w:type="dxa"/>
            <w:shd w:val="clear" w:color="auto" w:fill="auto"/>
            <w:noWrap/>
            <w:vAlign w:val="bottom"/>
            <w:hideMark/>
          </w:tcPr>
          <w:p w14:paraId="567DF37F" w14:textId="77777777" w:rsidR="00CC14B7" w:rsidRPr="00277BEC" w:rsidRDefault="00CC14B7" w:rsidP="00F94E4D">
            <w:pPr>
              <w:pStyle w:val="Tabletext"/>
              <w:rPr>
                <w:lang w:eastAsia="en-NZ"/>
              </w:rPr>
            </w:pPr>
            <w:r w:rsidRPr="00277BEC">
              <w:rPr>
                <w:lang w:eastAsia="en-NZ"/>
              </w:rPr>
              <w:t>21.3</w:t>
            </w:r>
          </w:p>
        </w:tc>
        <w:tc>
          <w:tcPr>
            <w:tcW w:w="1040" w:type="dxa"/>
            <w:shd w:val="clear" w:color="auto" w:fill="auto"/>
            <w:noWrap/>
            <w:vAlign w:val="bottom"/>
            <w:hideMark/>
          </w:tcPr>
          <w:p w14:paraId="38F34287" w14:textId="77777777" w:rsidR="00CC14B7" w:rsidRPr="00277BEC" w:rsidRDefault="00CC14B7" w:rsidP="00F94E4D">
            <w:pPr>
              <w:pStyle w:val="Tabletext"/>
              <w:rPr>
                <w:lang w:eastAsia="en-NZ"/>
              </w:rPr>
            </w:pPr>
            <w:r w:rsidRPr="00277BEC">
              <w:rPr>
                <w:lang w:eastAsia="en-NZ"/>
              </w:rPr>
              <w:t>43.8</w:t>
            </w:r>
          </w:p>
        </w:tc>
      </w:tr>
      <w:tr w:rsidR="00CC14B7" w:rsidRPr="00277BEC" w14:paraId="126906D8" w14:textId="77777777" w:rsidTr="00F94E4D">
        <w:trPr>
          <w:trHeight w:val="300"/>
          <w:tblCellSpacing w:w="20" w:type="dxa"/>
        </w:trPr>
        <w:tc>
          <w:tcPr>
            <w:tcW w:w="1040" w:type="dxa"/>
            <w:shd w:val="clear" w:color="auto" w:fill="auto"/>
            <w:noWrap/>
            <w:vAlign w:val="bottom"/>
            <w:hideMark/>
          </w:tcPr>
          <w:p w14:paraId="6A5157E0" w14:textId="77777777" w:rsidR="00CC14B7" w:rsidRPr="00277BEC" w:rsidRDefault="00CC14B7" w:rsidP="00F94E4D">
            <w:pPr>
              <w:pStyle w:val="Tabletext"/>
              <w:rPr>
                <w:lang w:eastAsia="en-NZ"/>
              </w:rPr>
            </w:pPr>
            <w:r w:rsidRPr="00277BEC">
              <w:rPr>
                <w:lang w:eastAsia="en-NZ"/>
              </w:rPr>
              <w:t>6</w:t>
            </w:r>
          </w:p>
        </w:tc>
        <w:tc>
          <w:tcPr>
            <w:tcW w:w="1160" w:type="dxa"/>
            <w:shd w:val="clear" w:color="auto" w:fill="auto"/>
            <w:noWrap/>
            <w:vAlign w:val="bottom"/>
            <w:hideMark/>
          </w:tcPr>
          <w:p w14:paraId="4DA52DA0" w14:textId="77777777" w:rsidR="00CC14B7" w:rsidRPr="00277BEC" w:rsidRDefault="00CC14B7" w:rsidP="00F94E4D">
            <w:pPr>
              <w:pStyle w:val="Tabletext"/>
              <w:rPr>
                <w:lang w:eastAsia="en-NZ"/>
              </w:rPr>
            </w:pPr>
            <w:r w:rsidRPr="00277BEC">
              <w:rPr>
                <w:lang w:eastAsia="en-NZ"/>
              </w:rPr>
              <w:t>0.0</w:t>
            </w:r>
          </w:p>
        </w:tc>
        <w:tc>
          <w:tcPr>
            <w:tcW w:w="960" w:type="dxa"/>
            <w:shd w:val="clear" w:color="auto" w:fill="auto"/>
            <w:noWrap/>
            <w:vAlign w:val="bottom"/>
            <w:hideMark/>
          </w:tcPr>
          <w:p w14:paraId="54D439A0" w14:textId="77777777" w:rsidR="00CC14B7" w:rsidRPr="00277BEC" w:rsidRDefault="00CC14B7" w:rsidP="00F94E4D">
            <w:pPr>
              <w:pStyle w:val="Tabletext"/>
              <w:rPr>
                <w:lang w:eastAsia="en-NZ"/>
              </w:rPr>
            </w:pPr>
            <w:r w:rsidRPr="00277BEC">
              <w:rPr>
                <w:lang w:eastAsia="en-NZ"/>
              </w:rPr>
              <w:t>0.0</w:t>
            </w:r>
          </w:p>
        </w:tc>
        <w:tc>
          <w:tcPr>
            <w:tcW w:w="960" w:type="dxa"/>
            <w:shd w:val="clear" w:color="auto" w:fill="auto"/>
            <w:noWrap/>
            <w:vAlign w:val="bottom"/>
            <w:hideMark/>
          </w:tcPr>
          <w:p w14:paraId="6CB39B8B" w14:textId="77777777" w:rsidR="00CC14B7" w:rsidRPr="00277BEC" w:rsidRDefault="00CC14B7" w:rsidP="00F94E4D">
            <w:pPr>
              <w:pStyle w:val="Tabletext"/>
              <w:rPr>
                <w:lang w:eastAsia="en-NZ"/>
              </w:rPr>
            </w:pPr>
            <w:r w:rsidRPr="00277BEC">
              <w:rPr>
                <w:lang w:eastAsia="en-NZ"/>
              </w:rPr>
              <w:t>2.0</w:t>
            </w:r>
          </w:p>
        </w:tc>
        <w:tc>
          <w:tcPr>
            <w:tcW w:w="1040" w:type="dxa"/>
            <w:shd w:val="clear" w:color="auto" w:fill="auto"/>
            <w:noWrap/>
            <w:vAlign w:val="bottom"/>
            <w:hideMark/>
          </w:tcPr>
          <w:p w14:paraId="41631D54" w14:textId="77777777" w:rsidR="00CC14B7" w:rsidRPr="00277BEC" w:rsidRDefault="00CC14B7" w:rsidP="00F94E4D">
            <w:pPr>
              <w:pStyle w:val="Tabletext"/>
              <w:rPr>
                <w:lang w:eastAsia="en-NZ"/>
              </w:rPr>
            </w:pPr>
            <w:r w:rsidRPr="00277BEC">
              <w:rPr>
                <w:lang w:eastAsia="en-NZ"/>
              </w:rPr>
              <w:t>30.4</w:t>
            </w:r>
          </w:p>
        </w:tc>
      </w:tr>
      <w:tr w:rsidR="00CC14B7" w:rsidRPr="00277BEC" w14:paraId="5D8B6E15" w14:textId="77777777" w:rsidTr="00F94E4D">
        <w:trPr>
          <w:trHeight w:val="300"/>
          <w:tblCellSpacing w:w="20" w:type="dxa"/>
        </w:trPr>
        <w:tc>
          <w:tcPr>
            <w:tcW w:w="1040" w:type="dxa"/>
            <w:shd w:val="clear" w:color="auto" w:fill="auto"/>
            <w:noWrap/>
            <w:vAlign w:val="bottom"/>
            <w:hideMark/>
          </w:tcPr>
          <w:p w14:paraId="62385273" w14:textId="77777777" w:rsidR="00CC14B7" w:rsidRPr="00277BEC" w:rsidRDefault="00CC14B7" w:rsidP="00F94E4D">
            <w:pPr>
              <w:pStyle w:val="Tabletext"/>
              <w:rPr>
                <w:i/>
                <w:iCs/>
                <w:lang w:eastAsia="en-NZ"/>
              </w:rPr>
            </w:pPr>
            <w:r w:rsidRPr="00277BEC">
              <w:rPr>
                <w:i/>
                <w:iCs/>
                <w:lang w:eastAsia="en-NZ"/>
              </w:rPr>
              <w:t>n</w:t>
            </w:r>
          </w:p>
        </w:tc>
        <w:tc>
          <w:tcPr>
            <w:tcW w:w="1160" w:type="dxa"/>
            <w:shd w:val="clear" w:color="auto" w:fill="auto"/>
            <w:noWrap/>
            <w:vAlign w:val="bottom"/>
            <w:hideMark/>
          </w:tcPr>
          <w:p w14:paraId="25BFF8A5" w14:textId="77777777" w:rsidR="00CC14B7" w:rsidRPr="00277BEC" w:rsidRDefault="00CC14B7" w:rsidP="00F94E4D">
            <w:pPr>
              <w:pStyle w:val="Tabletext"/>
              <w:rPr>
                <w:lang w:eastAsia="en-NZ"/>
              </w:rPr>
            </w:pPr>
            <w:r w:rsidRPr="00277BEC">
              <w:rPr>
                <w:lang w:eastAsia="en-NZ"/>
              </w:rPr>
              <w:t>53</w:t>
            </w:r>
          </w:p>
        </w:tc>
        <w:tc>
          <w:tcPr>
            <w:tcW w:w="960" w:type="dxa"/>
            <w:shd w:val="clear" w:color="auto" w:fill="auto"/>
            <w:noWrap/>
            <w:vAlign w:val="bottom"/>
            <w:hideMark/>
          </w:tcPr>
          <w:p w14:paraId="50B296E0" w14:textId="77777777" w:rsidR="00CC14B7" w:rsidRPr="00277BEC" w:rsidRDefault="00CC14B7" w:rsidP="00F94E4D">
            <w:pPr>
              <w:pStyle w:val="Tabletext"/>
              <w:rPr>
                <w:lang w:eastAsia="en-NZ"/>
              </w:rPr>
            </w:pPr>
            <w:r w:rsidRPr="00277BEC">
              <w:rPr>
                <w:lang w:eastAsia="en-NZ"/>
              </w:rPr>
              <w:t>190</w:t>
            </w:r>
          </w:p>
        </w:tc>
        <w:tc>
          <w:tcPr>
            <w:tcW w:w="960" w:type="dxa"/>
            <w:shd w:val="clear" w:color="auto" w:fill="auto"/>
            <w:noWrap/>
            <w:vAlign w:val="bottom"/>
            <w:hideMark/>
          </w:tcPr>
          <w:p w14:paraId="6E52ED68" w14:textId="77777777" w:rsidR="00CC14B7" w:rsidRPr="00277BEC" w:rsidRDefault="00CC14B7" w:rsidP="00F94E4D">
            <w:pPr>
              <w:pStyle w:val="Tabletext"/>
              <w:rPr>
                <w:lang w:eastAsia="en-NZ"/>
              </w:rPr>
            </w:pPr>
            <w:r w:rsidRPr="00277BEC">
              <w:rPr>
                <w:lang w:eastAsia="en-NZ"/>
              </w:rPr>
              <w:t>441</w:t>
            </w:r>
          </w:p>
        </w:tc>
        <w:tc>
          <w:tcPr>
            <w:tcW w:w="1040" w:type="dxa"/>
            <w:shd w:val="clear" w:color="auto" w:fill="auto"/>
            <w:noWrap/>
            <w:vAlign w:val="bottom"/>
            <w:hideMark/>
          </w:tcPr>
          <w:p w14:paraId="7E6AAD68" w14:textId="77777777" w:rsidR="00CC14B7" w:rsidRPr="00277BEC" w:rsidRDefault="00CC14B7" w:rsidP="00F94E4D">
            <w:pPr>
              <w:pStyle w:val="Tabletext"/>
              <w:rPr>
                <w:lang w:eastAsia="en-NZ"/>
              </w:rPr>
            </w:pPr>
            <w:r w:rsidRPr="00277BEC">
              <w:rPr>
                <w:lang w:eastAsia="en-NZ"/>
              </w:rPr>
              <w:t>299</w:t>
            </w:r>
          </w:p>
        </w:tc>
      </w:tr>
    </w:tbl>
    <w:p w14:paraId="48A28097" w14:textId="70B822B2" w:rsidR="00770505" w:rsidRPr="00277BEC" w:rsidRDefault="006938E1" w:rsidP="00AC2644">
      <w:pPr>
        <w:pStyle w:val="BodyText"/>
        <w:spacing w:before="120"/>
        <w:jc w:val="left"/>
        <w:rPr>
          <w:rFonts w:ascii="Arial" w:hAnsi="Arial" w:cs="Arial"/>
        </w:rPr>
      </w:pPr>
      <w:r w:rsidRPr="00277BEC">
        <w:rPr>
          <w:rFonts w:ascii="Arial" w:hAnsi="Arial" w:cs="Arial"/>
        </w:rPr>
        <w:t xml:space="preserve">Table </w:t>
      </w:r>
      <w:r w:rsidR="000539A9" w:rsidRPr="00277BEC">
        <w:rPr>
          <w:rFonts w:ascii="Arial" w:hAnsi="Arial" w:cs="Arial"/>
        </w:rPr>
        <w:t>12</w:t>
      </w:r>
      <w:r w:rsidRPr="00277BEC">
        <w:rPr>
          <w:rFonts w:ascii="Arial" w:hAnsi="Arial" w:cs="Arial"/>
          <w:sz w:val="20"/>
        </w:rPr>
        <w:t xml:space="preserve"> </w:t>
      </w:r>
      <w:r w:rsidRPr="00277BEC">
        <w:rPr>
          <w:rFonts w:ascii="Arial" w:hAnsi="Arial" w:cs="Arial"/>
        </w:rPr>
        <w:t xml:space="preserve">shows the distribution of </w:t>
      </w:r>
      <w:r w:rsidR="00AC2644">
        <w:rPr>
          <w:rFonts w:ascii="Arial" w:hAnsi="Arial" w:cs="Arial"/>
        </w:rPr>
        <w:t>Y</w:t>
      </w:r>
      <w:r w:rsidR="000F11C5" w:rsidRPr="00277BEC">
        <w:rPr>
          <w:rFonts w:ascii="Arial" w:hAnsi="Arial" w:cs="Arial"/>
        </w:rPr>
        <w:t>ear</w:t>
      </w:r>
      <w:r w:rsidRPr="00277BEC">
        <w:rPr>
          <w:rFonts w:ascii="Arial" w:hAnsi="Arial" w:cs="Arial"/>
        </w:rPr>
        <w:t xml:space="preserve"> 8 students in the school sample by </w:t>
      </w:r>
      <w:r w:rsidR="009A204E" w:rsidRPr="00277BEC">
        <w:rPr>
          <w:rFonts w:ascii="Arial" w:hAnsi="Arial" w:cs="Arial"/>
        </w:rPr>
        <w:t xml:space="preserve">reading </w:t>
      </w:r>
      <w:r w:rsidRPr="00277BEC">
        <w:rPr>
          <w:rFonts w:ascii="Arial" w:hAnsi="Arial" w:cs="Arial"/>
        </w:rPr>
        <w:t xml:space="preserve">step for each National Standards reading OTJ category. </w:t>
      </w:r>
      <w:r w:rsidR="00770505" w:rsidRPr="00277BEC">
        <w:rPr>
          <w:rFonts w:ascii="Arial" w:hAnsi="Arial" w:cs="Arial"/>
        </w:rPr>
        <w:t>A substantial majority (85.0</w:t>
      </w:r>
      <w:r w:rsidR="00AC2644">
        <w:rPr>
          <w:rFonts w:ascii="Arial" w:hAnsi="Arial" w:cs="Arial"/>
        </w:rPr>
        <w:t> percent</w:t>
      </w:r>
      <w:r w:rsidR="00770505" w:rsidRPr="00277BEC">
        <w:rPr>
          <w:rFonts w:ascii="Arial" w:hAnsi="Arial" w:cs="Arial"/>
        </w:rPr>
        <w:t xml:space="preserve">) of the sample were judged as being </w:t>
      </w:r>
      <w:r w:rsidR="00770505" w:rsidRPr="00277BEC">
        <w:rPr>
          <w:rFonts w:ascii="Arial" w:hAnsi="Arial" w:cs="Arial"/>
          <w:i/>
        </w:rPr>
        <w:t>at</w:t>
      </w:r>
      <w:r w:rsidR="00770505" w:rsidRPr="00277BEC">
        <w:rPr>
          <w:rFonts w:ascii="Arial" w:hAnsi="Arial" w:cs="Arial"/>
        </w:rPr>
        <w:t xml:space="preserve"> or </w:t>
      </w:r>
      <w:r w:rsidR="00770505" w:rsidRPr="00277BEC">
        <w:rPr>
          <w:rFonts w:ascii="Arial" w:hAnsi="Arial" w:cs="Arial"/>
          <w:i/>
        </w:rPr>
        <w:t>above</w:t>
      </w:r>
      <w:r w:rsidR="00770505" w:rsidRPr="00277BEC">
        <w:rPr>
          <w:rFonts w:ascii="Arial" w:hAnsi="Arial" w:cs="Arial"/>
        </w:rPr>
        <w:t xml:space="preserve"> the standard. There is a clear progression in the distributions, with almost two thirds of students judged as being </w:t>
      </w:r>
      <w:r w:rsidR="00770505" w:rsidRPr="00277BEC">
        <w:rPr>
          <w:rFonts w:ascii="Arial" w:hAnsi="Arial" w:cs="Arial"/>
          <w:i/>
        </w:rPr>
        <w:t>well below</w:t>
      </w:r>
      <w:r w:rsidR="00770505" w:rsidRPr="00277BEC">
        <w:rPr>
          <w:rFonts w:ascii="Arial" w:hAnsi="Arial" w:cs="Arial"/>
        </w:rPr>
        <w:t xml:space="preserve"> the standard at reading </w:t>
      </w:r>
      <w:r w:rsidR="00AC2644">
        <w:rPr>
          <w:rFonts w:ascii="Arial" w:hAnsi="Arial" w:cs="Arial"/>
        </w:rPr>
        <w:t>S</w:t>
      </w:r>
      <w:r w:rsidR="00770505" w:rsidRPr="00277BEC">
        <w:rPr>
          <w:rFonts w:ascii="Arial" w:hAnsi="Arial" w:cs="Arial"/>
        </w:rPr>
        <w:t xml:space="preserve">tep 1, and almost all of the rest at </w:t>
      </w:r>
      <w:r w:rsidR="00AC2644">
        <w:rPr>
          <w:rFonts w:ascii="Arial" w:hAnsi="Arial" w:cs="Arial"/>
        </w:rPr>
        <w:t>S</w:t>
      </w:r>
      <w:r w:rsidR="00770505" w:rsidRPr="00277BEC">
        <w:rPr>
          <w:rFonts w:ascii="Arial" w:hAnsi="Arial" w:cs="Arial"/>
        </w:rPr>
        <w:t>tep 2. Three</w:t>
      </w:r>
      <w:r w:rsidR="00AC2644">
        <w:rPr>
          <w:rFonts w:ascii="Arial" w:hAnsi="Arial" w:cs="Arial"/>
        </w:rPr>
        <w:t>-</w:t>
      </w:r>
      <w:r w:rsidR="00770505" w:rsidRPr="00277BEC">
        <w:rPr>
          <w:rFonts w:ascii="Arial" w:hAnsi="Arial" w:cs="Arial"/>
        </w:rPr>
        <w:t xml:space="preserve">fifths of students judged as being </w:t>
      </w:r>
      <w:r w:rsidR="00770505" w:rsidRPr="00277BEC">
        <w:rPr>
          <w:rFonts w:ascii="Arial" w:hAnsi="Arial" w:cs="Arial"/>
          <w:i/>
        </w:rPr>
        <w:t>below</w:t>
      </w:r>
      <w:r w:rsidR="00770505" w:rsidRPr="00277BEC">
        <w:rPr>
          <w:rFonts w:ascii="Arial" w:hAnsi="Arial" w:cs="Arial"/>
        </w:rPr>
        <w:t xml:space="preserve"> the standard were at reading </w:t>
      </w:r>
      <w:r w:rsidR="00AC2644">
        <w:rPr>
          <w:rFonts w:ascii="Arial" w:hAnsi="Arial" w:cs="Arial"/>
        </w:rPr>
        <w:t>S</w:t>
      </w:r>
      <w:r w:rsidR="00770505" w:rsidRPr="00277BEC">
        <w:rPr>
          <w:rFonts w:ascii="Arial" w:hAnsi="Arial" w:cs="Arial"/>
        </w:rPr>
        <w:t xml:space="preserve">tep 2, with the remainder split quite evenly between </w:t>
      </w:r>
      <w:r w:rsidR="00AC2644">
        <w:rPr>
          <w:rFonts w:ascii="Arial" w:hAnsi="Arial" w:cs="Arial"/>
        </w:rPr>
        <w:t>S</w:t>
      </w:r>
      <w:r w:rsidR="00770505" w:rsidRPr="00277BEC">
        <w:rPr>
          <w:rFonts w:ascii="Arial" w:hAnsi="Arial" w:cs="Arial"/>
        </w:rPr>
        <w:t xml:space="preserve">teps 1 and 3. Just over half of those judged as being </w:t>
      </w:r>
      <w:r w:rsidR="00770505" w:rsidRPr="00277BEC">
        <w:rPr>
          <w:rFonts w:ascii="Arial" w:hAnsi="Arial" w:cs="Arial"/>
          <w:i/>
        </w:rPr>
        <w:t>at</w:t>
      </w:r>
      <w:r w:rsidR="00770505" w:rsidRPr="00277BEC">
        <w:rPr>
          <w:rFonts w:ascii="Arial" w:hAnsi="Arial" w:cs="Arial"/>
        </w:rPr>
        <w:t xml:space="preserve"> the standard for </w:t>
      </w:r>
      <w:r w:rsidR="00AC2644">
        <w:rPr>
          <w:rFonts w:ascii="Arial" w:hAnsi="Arial" w:cs="Arial"/>
        </w:rPr>
        <w:t>Y</w:t>
      </w:r>
      <w:r w:rsidR="000F11C5" w:rsidRPr="00277BEC">
        <w:rPr>
          <w:rFonts w:ascii="Arial" w:hAnsi="Arial" w:cs="Arial"/>
        </w:rPr>
        <w:t>ear</w:t>
      </w:r>
      <w:r w:rsidR="00770505" w:rsidRPr="00277BEC">
        <w:rPr>
          <w:rFonts w:ascii="Arial" w:hAnsi="Arial" w:cs="Arial"/>
        </w:rPr>
        <w:t xml:space="preserve"> 8 were at reading </w:t>
      </w:r>
      <w:r w:rsidR="00AC2644">
        <w:rPr>
          <w:rFonts w:ascii="Arial" w:hAnsi="Arial" w:cs="Arial"/>
        </w:rPr>
        <w:t>S</w:t>
      </w:r>
      <w:r w:rsidR="00770505" w:rsidRPr="00277BEC">
        <w:rPr>
          <w:rFonts w:ascii="Arial" w:hAnsi="Arial" w:cs="Arial"/>
        </w:rPr>
        <w:t xml:space="preserve">tep 3, with the remainder predominately at </w:t>
      </w:r>
      <w:r w:rsidR="00AC2644">
        <w:rPr>
          <w:rFonts w:ascii="Arial" w:hAnsi="Arial" w:cs="Arial"/>
        </w:rPr>
        <w:t>S</w:t>
      </w:r>
      <w:r w:rsidR="00770505" w:rsidRPr="00277BEC">
        <w:rPr>
          <w:rFonts w:ascii="Arial" w:hAnsi="Arial" w:cs="Arial"/>
        </w:rPr>
        <w:t>tep 2, although about 12</w:t>
      </w:r>
      <w:r w:rsidR="00AC2644">
        <w:rPr>
          <w:rFonts w:ascii="Arial" w:hAnsi="Arial" w:cs="Arial"/>
        </w:rPr>
        <w:t> percent</w:t>
      </w:r>
      <w:r w:rsidR="00AC2644" w:rsidRPr="00277BEC">
        <w:rPr>
          <w:rFonts w:ascii="Arial" w:hAnsi="Arial" w:cs="Arial"/>
        </w:rPr>
        <w:t xml:space="preserve"> </w:t>
      </w:r>
      <w:r w:rsidR="00770505" w:rsidRPr="00277BEC">
        <w:rPr>
          <w:rFonts w:ascii="Arial" w:hAnsi="Arial" w:cs="Arial"/>
        </w:rPr>
        <w:t xml:space="preserve">were at </w:t>
      </w:r>
      <w:r w:rsidR="00AC2644">
        <w:rPr>
          <w:rFonts w:ascii="Arial" w:hAnsi="Arial" w:cs="Arial"/>
        </w:rPr>
        <w:t>S</w:t>
      </w:r>
      <w:r w:rsidR="00770505" w:rsidRPr="00277BEC">
        <w:rPr>
          <w:rFonts w:ascii="Arial" w:hAnsi="Arial" w:cs="Arial"/>
        </w:rPr>
        <w:t xml:space="preserve">tep 4. Those judged as being </w:t>
      </w:r>
      <w:r w:rsidR="00770505" w:rsidRPr="00277BEC">
        <w:rPr>
          <w:rFonts w:ascii="Arial" w:hAnsi="Arial" w:cs="Arial"/>
          <w:i/>
        </w:rPr>
        <w:t>above</w:t>
      </w:r>
      <w:r w:rsidR="00770505" w:rsidRPr="00277BEC">
        <w:rPr>
          <w:rFonts w:ascii="Arial" w:hAnsi="Arial" w:cs="Arial"/>
        </w:rPr>
        <w:t xml:space="preserve"> the standard were evenly split between </w:t>
      </w:r>
      <w:r w:rsidR="00AC2644">
        <w:rPr>
          <w:rFonts w:ascii="Arial" w:hAnsi="Arial" w:cs="Arial"/>
        </w:rPr>
        <w:t>S</w:t>
      </w:r>
      <w:r w:rsidR="00770505" w:rsidRPr="00277BEC">
        <w:rPr>
          <w:rFonts w:ascii="Arial" w:hAnsi="Arial" w:cs="Arial"/>
        </w:rPr>
        <w:t xml:space="preserve">teps 3 </w:t>
      </w:r>
      <w:r w:rsidR="00AC2644" w:rsidRPr="00277BEC">
        <w:rPr>
          <w:rFonts w:ascii="Arial" w:hAnsi="Arial" w:cs="Arial"/>
        </w:rPr>
        <w:t>and</w:t>
      </w:r>
      <w:r w:rsidR="00AC2644">
        <w:rPr>
          <w:rFonts w:ascii="Arial" w:hAnsi="Arial" w:cs="Arial"/>
        </w:rPr>
        <w:t> </w:t>
      </w:r>
      <w:r w:rsidR="00770505" w:rsidRPr="00277BEC">
        <w:rPr>
          <w:rFonts w:ascii="Arial" w:hAnsi="Arial" w:cs="Arial"/>
        </w:rPr>
        <w:t>4 with 7.2</w:t>
      </w:r>
      <w:r w:rsidR="00AC2644">
        <w:rPr>
          <w:rFonts w:ascii="Arial" w:hAnsi="Arial" w:cs="Arial"/>
        </w:rPr>
        <w:t> percent</w:t>
      </w:r>
      <w:r w:rsidR="00AC2644" w:rsidRPr="00277BEC">
        <w:rPr>
          <w:rFonts w:ascii="Arial" w:hAnsi="Arial" w:cs="Arial"/>
        </w:rPr>
        <w:t xml:space="preserve"> </w:t>
      </w:r>
      <w:r w:rsidR="00770505" w:rsidRPr="00277BEC">
        <w:rPr>
          <w:rFonts w:ascii="Arial" w:hAnsi="Arial" w:cs="Arial"/>
        </w:rPr>
        <w:t xml:space="preserve">below </w:t>
      </w:r>
      <w:r w:rsidR="00AC2644">
        <w:rPr>
          <w:rFonts w:ascii="Arial" w:hAnsi="Arial" w:cs="Arial"/>
        </w:rPr>
        <w:t>S</w:t>
      </w:r>
      <w:r w:rsidR="00770505" w:rsidRPr="00277BEC">
        <w:rPr>
          <w:rFonts w:ascii="Arial" w:hAnsi="Arial" w:cs="Arial"/>
        </w:rPr>
        <w:t>tep 3 and 12.6</w:t>
      </w:r>
      <w:r w:rsidR="00AC2644">
        <w:rPr>
          <w:rFonts w:ascii="Arial" w:hAnsi="Arial" w:cs="Arial"/>
        </w:rPr>
        <w:t> percent</w:t>
      </w:r>
      <w:r w:rsidR="00AC2644" w:rsidRPr="00277BEC">
        <w:rPr>
          <w:rFonts w:ascii="Arial" w:hAnsi="Arial" w:cs="Arial"/>
        </w:rPr>
        <w:t xml:space="preserve"> </w:t>
      </w:r>
      <w:r w:rsidR="00770505" w:rsidRPr="00277BEC">
        <w:rPr>
          <w:rFonts w:ascii="Arial" w:hAnsi="Arial" w:cs="Arial"/>
        </w:rPr>
        <w:t xml:space="preserve">above </w:t>
      </w:r>
      <w:r w:rsidR="00AC2644">
        <w:rPr>
          <w:rFonts w:ascii="Arial" w:hAnsi="Arial" w:cs="Arial"/>
        </w:rPr>
        <w:t>S</w:t>
      </w:r>
      <w:r w:rsidR="00770505" w:rsidRPr="00277BEC">
        <w:rPr>
          <w:rFonts w:ascii="Arial" w:hAnsi="Arial" w:cs="Arial"/>
        </w:rPr>
        <w:t xml:space="preserve">tep 4. </w:t>
      </w:r>
    </w:p>
    <w:p w14:paraId="1D2BED82" w14:textId="77777777" w:rsidR="002C4864" w:rsidRPr="00277BEC" w:rsidRDefault="002C4864" w:rsidP="002C4864">
      <w:pPr>
        <w:pStyle w:val="BodyText"/>
        <w:spacing w:after="0" w:line="276" w:lineRule="auto"/>
        <w:rPr>
          <w:rFonts w:ascii="Arial" w:hAnsi="Arial" w:cs="Arial"/>
          <w:sz w:val="20"/>
        </w:rPr>
      </w:pPr>
    </w:p>
    <w:p w14:paraId="39436719" w14:textId="77777777" w:rsidR="0078464C" w:rsidRPr="00277BEC" w:rsidRDefault="0078464C" w:rsidP="00A86B72">
      <w:pPr>
        <w:pStyle w:val="Caption"/>
        <w:rPr>
          <w:rFonts w:cs="Arial"/>
          <w:b/>
        </w:rPr>
      </w:pPr>
    </w:p>
    <w:p w14:paraId="69D6FFDF" w14:textId="6317F448" w:rsidR="002C4864" w:rsidRPr="00277BEC" w:rsidRDefault="00A86B72" w:rsidP="00AC2644">
      <w:pPr>
        <w:pStyle w:val="Caption"/>
        <w:jc w:val="left"/>
        <w:rPr>
          <w:rFonts w:cs="Arial"/>
        </w:rPr>
      </w:pPr>
      <w:bookmarkStart w:id="60" w:name="_Toc270604929"/>
      <w:r w:rsidRPr="00277BEC">
        <w:rPr>
          <w:rFonts w:cs="Arial"/>
          <w:b/>
        </w:rPr>
        <w:t xml:space="preserve">Table </w:t>
      </w:r>
      <w:r w:rsidR="00D71DDD" w:rsidRPr="00277BEC">
        <w:rPr>
          <w:rFonts w:cs="Arial"/>
          <w:b/>
        </w:rPr>
        <w:fldChar w:fldCharType="begin"/>
      </w:r>
      <w:r w:rsidRPr="00277BEC">
        <w:rPr>
          <w:rFonts w:cs="Arial"/>
          <w:b/>
        </w:rPr>
        <w:instrText xml:space="preserve"> SEQ Table \* ARABIC </w:instrText>
      </w:r>
      <w:r w:rsidR="00D71DDD" w:rsidRPr="00277BEC">
        <w:rPr>
          <w:rFonts w:cs="Arial"/>
          <w:b/>
        </w:rPr>
        <w:fldChar w:fldCharType="separate"/>
      </w:r>
      <w:r w:rsidR="00277BEC" w:rsidRPr="00277BEC">
        <w:rPr>
          <w:rFonts w:cs="Arial"/>
          <w:b/>
          <w:noProof/>
        </w:rPr>
        <w:t>12</w:t>
      </w:r>
      <w:r w:rsidR="00D71DDD" w:rsidRPr="00277BEC">
        <w:rPr>
          <w:rFonts w:cs="Arial"/>
          <w:b/>
        </w:rPr>
        <w:fldChar w:fldCharType="end"/>
      </w:r>
      <w:r w:rsidR="00F67A2A" w:rsidRPr="00277BEC">
        <w:rPr>
          <w:rFonts w:cs="Arial"/>
        </w:rPr>
        <w:t xml:space="preserve"> </w:t>
      </w:r>
      <w:r w:rsidR="006938E1" w:rsidRPr="00277BEC">
        <w:rPr>
          <w:rFonts w:cs="Arial"/>
        </w:rPr>
        <w:t xml:space="preserve">Distributions on the reading steps of </w:t>
      </w:r>
      <w:r w:rsidR="000F11C5" w:rsidRPr="00277BEC">
        <w:rPr>
          <w:rFonts w:cs="Arial"/>
        </w:rPr>
        <w:t>year</w:t>
      </w:r>
      <w:r w:rsidR="006938E1" w:rsidRPr="00277BEC">
        <w:rPr>
          <w:rFonts w:cs="Arial"/>
        </w:rPr>
        <w:t xml:space="preserve"> 8 students in the school sample judged </w:t>
      </w:r>
      <w:r w:rsidR="006938E1" w:rsidRPr="00277BEC">
        <w:rPr>
          <w:rFonts w:cs="Arial"/>
          <w:i/>
        </w:rPr>
        <w:t>well below</w:t>
      </w:r>
      <w:r w:rsidR="006938E1" w:rsidRPr="00277BEC">
        <w:rPr>
          <w:rFonts w:cs="Arial"/>
        </w:rPr>
        <w:t xml:space="preserve">, </w:t>
      </w:r>
      <w:r w:rsidR="006938E1" w:rsidRPr="00277BEC">
        <w:rPr>
          <w:rFonts w:cs="Arial"/>
          <w:i/>
        </w:rPr>
        <w:t>below</w:t>
      </w:r>
      <w:r w:rsidR="006938E1" w:rsidRPr="00277BEC">
        <w:rPr>
          <w:rFonts w:cs="Arial"/>
        </w:rPr>
        <w:t xml:space="preserve">, </w:t>
      </w:r>
      <w:r w:rsidR="006938E1" w:rsidRPr="00277BEC">
        <w:rPr>
          <w:rFonts w:cs="Arial"/>
          <w:i/>
        </w:rPr>
        <w:t>at</w:t>
      </w:r>
      <w:r w:rsidR="006938E1" w:rsidRPr="00277BEC">
        <w:rPr>
          <w:rFonts w:cs="Arial"/>
        </w:rPr>
        <w:t xml:space="preserve"> and </w:t>
      </w:r>
      <w:r w:rsidR="006938E1" w:rsidRPr="00277BEC">
        <w:rPr>
          <w:rFonts w:cs="Arial"/>
          <w:i/>
        </w:rPr>
        <w:t>above</w:t>
      </w:r>
      <w:r w:rsidR="006938E1" w:rsidRPr="00277BEC">
        <w:rPr>
          <w:rFonts w:cs="Arial"/>
        </w:rPr>
        <w:t xml:space="preserve"> the </w:t>
      </w:r>
      <w:r w:rsidR="00EA6C7C" w:rsidRPr="00277BEC">
        <w:rPr>
          <w:rFonts w:cs="Arial"/>
        </w:rPr>
        <w:t>End of Year 8</w:t>
      </w:r>
      <w:r w:rsidR="001C17F8" w:rsidRPr="00277BEC">
        <w:rPr>
          <w:rFonts w:cs="Arial"/>
        </w:rPr>
        <w:t xml:space="preserve"> Reading S</w:t>
      </w:r>
      <w:r w:rsidR="006938E1" w:rsidRPr="00277BEC">
        <w:rPr>
          <w:rFonts w:cs="Arial"/>
        </w:rPr>
        <w:t>tandard</w:t>
      </w:r>
      <w:r w:rsidR="000C437E" w:rsidRPr="00277BEC">
        <w:rPr>
          <w:rFonts w:cs="Arial"/>
        </w:rPr>
        <w:t>.</w:t>
      </w:r>
      <w:bookmarkEnd w:id="60"/>
    </w:p>
    <w:tbl>
      <w:tblPr>
        <w:tblW w:w="8505"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726"/>
        <w:gridCol w:w="1892"/>
        <w:gridCol w:w="1581"/>
        <w:gridCol w:w="1581"/>
        <w:gridCol w:w="1725"/>
      </w:tblGrid>
      <w:tr w:rsidR="002C4864" w:rsidRPr="00277BEC" w14:paraId="49D33BEA" w14:textId="77777777" w:rsidTr="00F94E4D">
        <w:trPr>
          <w:trHeight w:val="567"/>
          <w:tblCellSpacing w:w="20" w:type="dxa"/>
        </w:trPr>
        <w:tc>
          <w:tcPr>
            <w:tcW w:w="1040" w:type="dxa"/>
            <w:shd w:val="clear" w:color="auto" w:fill="auto"/>
            <w:vAlign w:val="bottom"/>
            <w:hideMark/>
          </w:tcPr>
          <w:p w14:paraId="78230D63" w14:textId="77777777" w:rsidR="002C4864" w:rsidRPr="00277BEC" w:rsidRDefault="002C4864" w:rsidP="00F94E4D">
            <w:pPr>
              <w:pStyle w:val="Tabletext"/>
              <w:rPr>
                <w:lang w:eastAsia="en-NZ"/>
              </w:rPr>
            </w:pPr>
            <w:r w:rsidRPr="00277BEC">
              <w:rPr>
                <w:lang w:eastAsia="en-NZ"/>
              </w:rPr>
              <w:t>Reading Step</w:t>
            </w:r>
          </w:p>
        </w:tc>
        <w:tc>
          <w:tcPr>
            <w:tcW w:w="1160" w:type="dxa"/>
            <w:shd w:val="clear" w:color="auto" w:fill="auto"/>
            <w:noWrap/>
            <w:vAlign w:val="bottom"/>
            <w:hideMark/>
          </w:tcPr>
          <w:p w14:paraId="73C58712" w14:textId="77777777" w:rsidR="002C4864" w:rsidRPr="00277BEC" w:rsidRDefault="002C4864" w:rsidP="00F94E4D">
            <w:pPr>
              <w:pStyle w:val="Tabletext"/>
              <w:rPr>
                <w:lang w:eastAsia="en-NZ"/>
              </w:rPr>
            </w:pPr>
            <w:r w:rsidRPr="00277BEC">
              <w:rPr>
                <w:lang w:eastAsia="en-NZ"/>
              </w:rPr>
              <w:t>Well Below</w:t>
            </w:r>
          </w:p>
        </w:tc>
        <w:tc>
          <w:tcPr>
            <w:tcW w:w="960" w:type="dxa"/>
            <w:shd w:val="clear" w:color="auto" w:fill="auto"/>
            <w:noWrap/>
            <w:vAlign w:val="bottom"/>
            <w:hideMark/>
          </w:tcPr>
          <w:p w14:paraId="7BDBC455" w14:textId="77777777" w:rsidR="002C4864" w:rsidRPr="00277BEC" w:rsidRDefault="002C4864" w:rsidP="00F94E4D">
            <w:pPr>
              <w:pStyle w:val="Tabletext"/>
              <w:rPr>
                <w:lang w:eastAsia="en-NZ"/>
              </w:rPr>
            </w:pPr>
            <w:r w:rsidRPr="00277BEC">
              <w:rPr>
                <w:lang w:eastAsia="en-NZ"/>
              </w:rPr>
              <w:t>Below</w:t>
            </w:r>
          </w:p>
        </w:tc>
        <w:tc>
          <w:tcPr>
            <w:tcW w:w="960" w:type="dxa"/>
            <w:shd w:val="clear" w:color="auto" w:fill="auto"/>
            <w:noWrap/>
            <w:vAlign w:val="bottom"/>
            <w:hideMark/>
          </w:tcPr>
          <w:p w14:paraId="3907E864" w14:textId="77777777" w:rsidR="002C4864" w:rsidRPr="00277BEC" w:rsidRDefault="002C4864" w:rsidP="00F94E4D">
            <w:pPr>
              <w:pStyle w:val="Tabletext"/>
              <w:rPr>
                <w:lang w:eastAsia="en-NZ"/>
              </w:rPr>
            </w:pPr>
            <w:r w:rsidRPr="00277BEC">
              <w:rPr>
                <w:lang w:eastAsia="en-NZ"/>
              </w:rPr>
              <w:t>At</w:t>
            </w:r>
          </w:p>
        </w:tc>
        <w:tc>
          <w:tcPr>
            <w:tcW w:w="1040" w:type="dxa"/>
            <w:shd w:val="clear" w:color="auto" w:fill="auto"/>
            <w:noWrap/>
            <w:vAlign w:val="bottom"/>
            <w:hideMark/>
          </w:tcPr>
          <w:p w14:paraId="7F6B1360" w14:textId="77777777" w:rsidR="002C4864" w:rsidRPr="00277BEC" w:rsidRDefault="002C4864" w:rsidP="00F94E4D">
            <w:pPr>
              <w:pStyle w:val="Tabletext"/>
              <w:rPr>
                <w:lang w:eastAsia="en-NZ"/>
              </w:rPr>
            </w:pPr>
            <w:r w:rsidRPr="00277BEC">
              <w:rPr>
                <w:lang w:eastAsia="en-NZ"/>
              </w:rPr>
              <w:t>Above</w:t>
            </w:r>
          </w:p>
        </w:tc>
      </w:tr>
      <w:tr w:rsidR="002C4864" w:rsidRPr="00277BEC" w14:paraId="2C842CD2" w14:textId="77777777" w:rsidTr="00F94E4D">
        <w:trPr>
          <w:trHeight w:val="300"/>
          <w:tblCellSpacing w:w="20" w:type="dxa"/>
        </w:trPr>
        <w:tc>
          <w:tcPr>
            <w:tcW w:w="1040" w:type="dxa"/>
            <w:shd w:val="clear" w:color="auto" w:fill="auto"/>
            <w:noWrap/>
            <w:vAlign w:val="bottom"/>
            <w:hideMark/>
          </w:tcPr>
          <w:p w14:paraId="47AE6B88"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1</w:t>
            </w:r>
          </w:p>
        </w:tc>
        <w:tc>
          <w:tcPr>
            <w:tcW w:w="1160" w:type="dxa"/>
            <w:shd w:val="clear" w:color="auto" w:fill="auto"/>
            <w:noWrap/>
            <w:vAlign w:val="bottom"/>
            <w:hideMark/>
          </w:tcPr>
          <w:p w14:paraId="09600CFD"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63.6</w:t>
            </w:r>
          </w:p>
        </w:tc>
        <w:tc>
          <w:tcPr>
            <w:tcW w:w="960" w:type="dxa"/>
            <w:shd w:val="clear" w:color="auto" w:fill="auto"/>
            <w:noWrap/>
            <w:vAlign w:val="bottom"/>
            <w:hideMark/>
          </w:tcPr>
          <w:p w14:paraId="44DEEB73"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17.9</w:t>
            </w:r>
          </w:p>
        </w:tc>
        <w:tc>
          <w:tcPr>
            <w:tcW w:w="960" w:type="dxa"/>
            <w:shd w:val="clear" w:color="auto" w:fill="auto"/>
            <w:noWrap/>
            <w:vAlign w:val="bottom"/>
            <w:hideMark/>
          </w:tcPr>
          <w:p w14:paraId="36FB74B1"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2.1</w:t>
            </w:r>
          </w:p>
        </w:tc>
        <w:tc>
          <w:tcPr>
            <w:tcW w:w="1040" w:type="dxa"/>
            <w:shd w:val="clear" w:color="auto" w:fill="auto"/>
            <w:noWrap/>
            <w:vAlign w:val="bottom"/>
            <w:hideMark/>
          </w:tcPr>
          <w:p w14:paraId="67B882F0"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1.0</w:t>
            </w:r>
          </w:p>
        </w:tc>
      </w:tr>
      <w:tr w:rsidR="002C4864" w:rsidRPr="00277BEC" w14:paraId="71DF5196" w14:textId="77777777" w:rsidTr="00F94E4D">
        <w:trPr>
          <w:trHeight w:val="300"/>
          <w:tblCellSpacing w:w="20" w:type="dxa"/>
        </w:trPr>
        <w:tc>
          <w:tcPr>
            <w:tcW w:w="1040" w:type="dxa"/>
            <w:shd w:val="clear" w:color="auto" w:fill="auto"/>
            <w:noWrap/>
            <w:vAlign w:val="bottom"/>
            <w:hideMark/>
          </w:tcPr>
          <w:p w14:paraId="65B842E3"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2</w:t>
            </w:r>
          </w:p>
        </w:tc>
        <w:tc>
          <w:tcPr>
            <w:tcW w:w="1160" w:type="dxa"/>
            <w:shd w:val="clear" w:color="auto" w:fill="auto"/>
            <w:noWrap/>
            <w:vAlign w:val="bottom"/>
            <w:hideMark/>
          </w:tcPr>
          <w:p w14:paraId="68EAED0F"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33.3</w:t>
            </w:r>
          </w:p>
        </w:tc>
        <w:tc>
          <w:tcPr>
            <w:tcW w:w="960" w:type="dxa"/>
            <w:shd w:val="clear" w:color="auto" w:fill="auto"/>
            <w:noWrap/>
            <w:vAlign w:val="bottom"/>
            <w:hideMark/>
          </w:tcPr>
          <w:p w14:paraId="17953630"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60.2</w:t>
            </w:r>
          </w:p>
        </w:tc>
        <w:tc>
          <w:tcPr>
            <w:tcW w:w="960" w:type="dxa"/>
            <w:shd w:val="clear" w:color="auto" w:fill="auto"/>
            <w:noWrap/>
            <w:vAlign w:val="bottom"/>
            <w:hideMark/>
          </w:tcPr>
          <w:p w14:paraId="524C8BD4"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32.4</w:t>
            </w:r>
          </w:p>
        </w:tc>
        <w:tc>
          <w:tcPr>
            <w:tcW w:w="1040" w:type="dxa"/>
            <w:shd w:val="clear" w:color="auto" w:fill="auto"/>
            <w:noWrap/>
            <w:vAlign w:val="bottom"/>
            <w:hideMark/>
          </w:tcPr>
          <w:p w14:paraId="5D9D2D4A"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6.2</w:t>
            </w:r>
          </w:p>
        </w:tc>
      </w:tr>
      <w:tr w:rsidR="002C4864" w:rsidRPr="00277BEC" w14:paraId="4E5506AE" w14:textId="77777777" w:rsidTr="00F94E4D">
        <w:trPr>
          <w:trHeight w:val="300"/>
          <w:tblCellSpacing w:w="20" w:type="dxa"/>
        </w:trPr>
        <w:tc>
          <w:tcPr>
            <w:tcW w:w="1040" w:type="dxa"/>
            <w:shd w:val="clear" w:color="auto" w:fill="auto"/>
            <w:noWrap/>
            <w:vAlign w:val="bottom"/>
            <w:hideMark/>
          </w:tcPr>
          <w:p w14:paraId="1F49E24D"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3</w:t>
            </w:r>
          </w:p>
        </w:tc>
        <w:tc>
          <w:tcPr>
            <w:tcW w:w="1160" w:type="dxa"/>
            <w:shd w:val="clear" w:color="auto" w:fill="auto"/>
            <w:noWrap/>
            <w:vAlign w:val="bottom"/>
            <w:hideMark/>
          </w:tcPr>
          <w:p w14:paraId="707B72B8"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3.0</w:t>
            </w:r>
          </w:p>
        </w:tc>
        <w:tc>
          <w:tcPr>
            <w:tcW w:w="960" w:type="dxa"/>
            <w:shd w:val="clear" w:color="auto" w:fill="auto"/>
            <w:noWrap/>
            <w:vAlign w:val="bottom"/>
            <w:hideMark/>
          </w:tcPr>
          <w:p w14:paraId="4AECF960"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22.0</w:t>
            </w:r>
          </w:p>
        </w:tc>
        <w:tc>
          <w:tcPr>
            <w:tcW w:w="960" w:type="dxa"/>
            <w:shd w:val="clear" w:color="auto" w:fill="auto"/>
            <w:noWrap/>
            <w:vAlign w:val="bottom"/>
            <w:hideMark/>
          </w:tcPr>
          <w:p w14:paraId="0027AD86"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53.2</w:t>
            </w:r>
          </w:p>
        </w:tc>
        <w:tc>
          <w:tcPr>
            <w:tcW w:w="1040" w:type="dxa"/>
            <w:shd w:val="clear" w:color="auto" w:fill="auto"/>
            <w:noWrap/>
            <w:vAlign w:val="bottom"/>
            <w:hideMark/>
          </w:tcPr>
          <w:p w14:paraId="0D389266"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40.9</w:t>
            </w:r>
          </w:p>
        </w:tc>
      </w:tr>
      <w:tr w:rsidR="002C4864" w:rsidRPr="00277BEC" w14:paraId="26DC390B" w14:textId="77777777" w:rsidTr="00F94E4D">
        <w:trPr>
          <w:trHeight w:val="300"/>
          <w:tblCellSpacing w:w="20" w:type="dxa"/>
        </w:trPr>
        <w:tc>
          <w:tcPr>
            <w:tcW w:w="1040" w:type="dxa"/>
            <w:shd w:val="clear" w:color="auto" w:fill="auto"/>
            <w:noWrap/>
            <w:vAlign w:val="bottom"/>
            <w:hideMark/>
          </w:tcPr>
          <w:p w14:paraId="2EEE2F33"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4</w:t>
            </w:r>
          </w:p>
        </w:tc>
        <w:tc>
          <w:tcPr>
            <w:tcW w:w="1160" w:type="dxa"/>
            <w:shd w:val="clear" w:color="auto" w:fill="auto"/>
            <w:noWrap/>
            <w:vAlign w:val="bottom"/>
            <w:hideMark/>
          </w:tcPr>
          <w:p w14:paraId="02957499" w14:textId="477E109F"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0.0</w:t>
            </w:r>
          </w:p>
        </w:tc>
        <w:tc>
          <w:tcPr>
            <w:tcW w:w="960" w:type="dxa"/>
            <w:shd w:val="clear" w:color="auto" w:fill="auto"/>
            <w:noWrap/>
            <w:vAlign w:val="bottom"/>
            <w:hideMark/>
          </w:tcPr>
          <w:p w14:paraId="3AA6C67B"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0.0</w:t>
            </w:r>
          </w:p>
        </w:tc>
        <w:tc>
          <w:tcPr>
            <w:tcW w:w="960" w:type="dxa"/>
            <w:shd w:val="clear" w:color="auto" w:fill="auto"/>
            <w:noWrap/>
            <w:vAlign w:val="bottom"/>
            <w:hideMark/>
          </w:tcPr>
          <w:p w14:paraId="2B193FAB"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11.9</w:t>
            </w:r>
          </w:p>
        </w:tc>
        <w:tc>
          <w:tcPr>
            <w:tcW w:w="1040" w:type="dxa"/>
            <w:shd w:val="clear" w:color="auto" w:fill="auto"/>
            <w:noWrap/>
            <w:vAlign w:val="bottom"/>
            <w:hideMark/>
          </w:tcPr>
          <w:p w14:paraId="02AC4B95"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39.2</w:t>
            </w:r>
          </w:p>
        </w:tc>
      </w:tr>
      <w:tr w:rsidR="002C4864" w:rsidRPr="00277BEC" w14:paraId="107147B6" w14:textId="77777777" w:rsidTr="00F94E4D">
        <w:trPr>
          <w:trHeight w:val="300"/>
          <w:tblCellSpacing w:w="20" w:type="dxa"/>
        </w:trPr>
        <w:tc>
          <w:tcPr>
            <w:tcW w:w="1040" w:type="dxa"/>
            <w:shd w:val="clear" w:color="auto" w:fill="auto"/>
            <w:noWrap/>
            <w:vAlign w:val="bottom"/>
            <w:hideMark/>
          </w:tcPr>
          <w:p w14:paraId="69853163"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5</w:t>
            </w:r>
          </w:p>
        </w:tc>
        <w:tc>
          <w:tcPr>
            <w:tcW w:w="1160" w:type="dxa"/>
            <w:shd w:val="clear" w:color="auto" w:fill="auto"/>
            <w:noWrap/>
            <w:vAlign w:val="bottom"/>
            <w:hideMark/>
          </w:tcPr>
          <w:p w14:paraId="35C4A45E"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0.0</w:t>
            </w:r>
          </w:p>
        </w:tc>
        <w:tc>
          <w:tcPr>
            <w:tcW w:w="960" w:type="dxa"/>
            <w:shd w:val="clear" w:color="auto" w:fill="auto"/>
            <w:noWrap/>
            <w:vAlign w:val="bottom"/>
            <w:hideMark/>
          </w:tcPr>
          <w:p w14:paraId="53E27839"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0.0</w:t>
            </w:r>
          </w:p>
        </w:tc>
        <w:tc>
          <w:tcPr>
            <w:tcW w:w="960" w:type="dxa"/>
            <w:shd w:val="clear" w:color="auto" w:fill="auto"/>
            <w:noWrap/>
            <w:vAlign w:val="bottom"/>
            <w:hideMark/>
          </w:tcPr>
          <w:p w14:paraId="322B06E3"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0.4</w:t>
            </w:r>
          </w:p>
        </w:tc>
        <w:tc>
          <w:tcPr>
            <w:tcW w:w="1040" w:type="dxa"/>
            <w:shd w:val="clear" w:color="auto" w:fill="auto"/>
            <w:noWrap/>
            <w:vAlign w:val="bottom"/>
            <w:hideMark/>
          </w:tcPr>
          <w:p w14:paraId="37B406AF"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10.4</w:t>
            </w:r>
          </w:p>
        </w:tc>
      </w:tr>
      <w:tr w:rsidR="002C4864" w:rsidRPr="00277BEC" w14:paraId="22E99893" w14:textId="77777777" w:rsidTr="00F94E4D">
        <w:trPr>
          <w:trHeight w:val="300"/>
          <w:tblCellSpacing w:w="20" w:type="dxa"/>
        </w:trPr>
        <w:tc>
          <w:tcPr>
            <w:tcW w:w="1040" w:type="dxa"/>
            <w:shd w:val="clear" w:color="auto" w:fill="auto"/>
            <w:noWrap/>
            <w:vAlign w:val="bottom"/>
            <w:hideMark/>
          </w:tcPr>
          <w:p w14:paraId="64D8C650"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6</w:t>
            </w:r>
          </w:p>
        </w:tc>
        <w:tc>
          <w:tcPr>
            <w:tcW w:w="1160" w:type="dxa"/>
            <w:shd w:val="clear" w:color="auto" w:fill="auto"/>
            <w:noWrap/>
            <w:vAlign w:val="bottom"/>
            <w:hideMark/>
          </w:tcPr>
          <w:p w14:paraId="6B3CE9EA"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0.0</w:t>
            </w:r>
          </w:p>
        </w:tc>
        <w:tc>
          <w:tcPr>
            <w:tcW w:w="960" w:type="dxa"/>
            <w:shd w:val="clear" w:color="auto" w:fill="auto"/>
            <w:noWrap/>
            <w:vAlign w:val="bottom"/>
            <w:hideMark/>
          </w:tcPr>
          <w:p w14:paraId="1AE6A3B5"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0.0</w:t>
            </w:r>
          </w:p>
        </w:tc>
        <w:tc>
          <w:tcPr>
            <w:tcW w:w="960" w:type="dxa"/>
            <w:shd w:val="clear" w:color="auto" w:fill="auto"/>
            <w:noWrap/>
            <w:vAlign w:val="bottom"/>
            <w:hideMark/>
          </w:tcPr>
          <w:p w14:paraId="1D23073C"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0.0</w:t>
            </w:r>
          </w:p>
        </w:tc>
        <w:tc>
          <w:tcPr>
            <w:tcW w:w="1040" w:type="dxa"/>
            <w:shd w:val="clear" w:color="auto" w:fill="auto"/>
            <w:noWrap/>
            <w:vAlign w:val="bottom"/>
            <w:hideMark/>
          </w:tcPr>
          <w:p w14:paraId="63D95047"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2.2</w:t>
            </w:r>
          </w:p>
        </w:tc>
      </w:tr>
      <w:tr w:rsidR="002C4864" w:rsidRPr="00277BEC" w14:paraId="3A0163D2" w14:textId="77777777" w:rsidTr="00F94E4D">
        <w:trPr>
          <w:trHeight w:val="300"/>
          <w:tblCellSpacing w:w="20" w:type="dxa"/>
        </w:trPr>
        <w:tc>
          <w:tcPr>
            <w:tcW w:w="1040" w:type="dxa"/>
            <w:shd w:val="clear" w:color="auto" w:fill="auto"/>
            <w:noWrap/>
            <w:vAlign w:val="bottom"/>
            <w:hideMark/>
          </w:tcPr>
          <w:p w14:paraId="768EFEA4" w14:textId="77777777" w:rsidR="002C4864" w:rsidRPr="00277BEC" w:rsidRDefault="002C4864" w:rsidP="00F94E4D">
            <w:pPr>
              <w:pStyle w:val="Tabletext"/>
              <w:rPr>
                <w:rFonts w:eastAsia="Times New Roman"/>
                <w:i/>
                <w:iCs/>
                <w:color w:val="000000"/>
                <w:sz w:val="20"/>
                <w:szCs w:val="20"/>
                <w:lang w:val="en-NZ" w:eastAsia="en-NZ"/>
              </w:rPr>
            </w:pPr>
            <w:r w:rsidRPr="00277BEC">
              <w:rPr>
                <w:rFonts w:eastAsia="Times New Roman"/>
                <w:i/>
                <w:iCs/>
                <w:color w:val="000000"/>
                <w:sz w:val="20"/>
                <w:szCs w:val="20"/>
                <w:lang w:val="en-NZ" w:eastAsia="en-NZ"/>
              </w:rPr>
              <w:t>n</w:t>
            </w:r>
          </w:p>
        </w:tc>
        <w:tc>
          <w:tcPr>
            <w:tcW w:w="1160" w:type="dxa"/>
            <w:shd w:val="clear" w:color="auto" w:fill="auto"/>
            <w:noWrap/>
            <w:vAlign w:val="bottom"/>
            <w:hideMark/>
          </w:tcPr>
          <w:p w14:paraId="66CBBF1B"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33</w:t>
            </w:r>
          </w:p>
        </w:tc>
        <w:tc>
          <w:tcPr>
            <w:tcW w:w="960" w:type="dxa"/>
            <w:shd w:val="clear" w:color="auto" w:fill="auto"/>
            <w:noWrap/>
            <w:vAlign w:val="bottom"/>
            <w:hideMark/>
          </w:tcPr>
          <w:p w14:paraId="316F4D72"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123</w:t>
            </w:r>
          </w:p>
        </w:tc>
        <w:tc>
          <w:tcPr>
            <w:tcW w:w="960" w:type="dxa"/>
            <w:shd w:val="clear" w:color="auto" w:fill="auto"/>
            <w:noWrap/>
            <w:vAlign w:val="bottom"/>
            <w:hideMark/>
          </w:tcPr>
          <w:p w14:paraId="15FAD1B4"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479</w:t>
            </w:r>
          </w:p>
        </w:tc>
        <w:tc>
          <w:tcPr>
            <w:tcW w:w="1040" w:type="dxa"/>
            <w:shd w:val="clear" w:color="auto" w:fill="auto"/>
            <w:noWrap/>
            <w:vAlign w:val="bottom"/>
            <w:hideMark/>
          </w:tcPr>
          <w:p w14:paraId="524B9E36" w14:textId="77777777" w:rsidR="002C4864" w:rsidRPr="00277BEC" w:rsidRDefault="002C4864" w:rsidP="00F94E4D">
            <w:pPr>
              <w:pStyle w:val="Tabletext"/>
              <w:rPr>
                <w:rFonts w:eastAsia="Times New Roman"/>
                <w:color w:val="000000"/>
                <w:sz w:val="20"/>
                <w:szCs w:val="20"/>
                <w:lang w:val="en-NZ" w:eastAsia="en-NZ"/>
              </w:rPr>
            </w:pPr>
            <w:r w:rsidRPr="00277BEC">
              <w:rPr>
                <w:rFonts w:eastAsia="Times New Roman"/>
                <w:color w:val="000000"/>
                <w:sz w:val="20"/>
                <w:szCs w:val="20"/>
                <w:lang w:val="en-NZ" w:eastAsia="en-NZ"/>
              </w:rPr>
              <w:t>403</w:t>
            </w:r>
          </w:p>
        </w:tc>
      </w:tr>
    </w:tbl>
    <w:p w14:paraId="74E78EA6" w14:textId="1292A520" w:rsidR="00770505" w:rsidRPr="00277BEC" w:rsidRDefault="00770505" w:rsidP="00AC2644">
      <w:pPr>
        <w:pStyle w:val="BodyText"/>
        <w:spacing w:before="120"/>
        <w:jc w:val="left"/>
        <w:rPr>
          <w:rFonts w:ascii="Arial" w:hAnsi="Arial" w:cs="Arial"/>
        </w:rPr>
      </w:pPr>
      <w:r w:rsidRPr="00277BEC">
        <w:rPr>
          <w:rFonts w:ascii="Arial" w:hAnsi="Arial" w:cs="Arial"/>
        </w:rPr>
        <w:t xml:space="preserve">Figure 8 shows the results of a logistic regression analysis describing the probability of being judged </w:t>
      </w:r>
      <w:r w:rsidRPr="00277BEC">
        <w:rPr>
          <w:rFonts w:ascii="Arial" w:hAnsi="Arial" w:cs="Arial"/>
          <w:i/>
        </w:rPr>
        <w:t>at</w:t>
      </w:r>
      <w:r w:rsidRPr="00277BEC">
        <w:rPr>
          <w:rFonts w:ascii="Arial" w:hAnsi="Arial" w:cs="Arial"/>
        </w:rPr>
        <w:t xml:space="preserve"> or </w:t>
      </w:r>
      <w:r w:rsidRPr="00277BEC">
        <w:rPr>
          <w:rFonts w:ascii="Arial" w:hAnsi="Arial" w:cs="Arial"/>
          <w:i/>
        </w:rPr>
        <w:t>above</w:t>
      </w:r>
      <w:r w:rsidRPr="00277BEC">
        <w:rPr>
          <w:rFonts w:ascii="Arial" w:hAnsi="Arial" w:cs="Arial"/>
        </w:rPr>
        <w:t xml:space="preserve"> the </w:t>
      </w:r>
      <w:r w:rsidR="001C17F8" w:rsidRPr="00277BEC">
        <w:rPr>
          <w:rFonts w:ascii="Arial" w:hAnsi="Arial" w:cs="Arial"/>
        </w:rPr>
        <w:t>End of Y</w:t>
      </w:r>
      <w:r w:rsidR="000F11C5" w:rsidRPr="00277BEC">
        <w:rPr>
          <w:rFonts w:ascii="Arial" w:hAnsi="Arial" w:cs="Arial"/>
        </w:rPr>
        <w:t>ear</w:t>
      </w:r>
      <w:r w:rsidRPr="00277BEC">
        <w:rPr>
          <w:rFonts w:ascii="Arial" w:hAnsi="Arial" w:cs="Arial"/>
        </w:rPr>
        <w:t xml:space="preserve"> 8 </w:t>
      </w:r>
      <w:r w:rsidR="001C17F8" w:rsidRPr="00277BEC">
        <w:rPr>
          <w:rFonts w:ascii="Arial" w:hAnsi="Arial" w:cs="Arial"/>
        </w:rPr>
        <w:t>M</w:t>
      </w:r>
      <w:r w:rsidR="006938E1" w:rsidRPr="00277BEC">
        <w:rPr>
          <w:rFonts w:ascii="Arial" w:hAnsi="Arial" w:cs="Arial"/>
        </w:rPr>
        <w:t>athematics Standard</w:t>
      </w:r>
      <w:r w:rsidRPr="00277BEC">
        <w:rPr>
          <w:rFonts w:ascii="Arial" w:hAnsi="Arial" w:cs="Arial"/>
        </w:rPr>
        <w:t xml:space="preserve"> conditioned on performance on the numeracy </w:t>
      </w:r>
      <w:r w:rsidR="006938E1" w:rsidRPr="00277BEC">
        <w:rPr>
          <w:rFonts w:ascii="Arial" w:hAnsi="Arial" w:cs="Arial"/>
        </w:rPr>
        <w:t>scale</w:t>
      </w:r>
      <w:r w:rsidRPr="00277BEC">
        <w:rPr>
          <w:rFonts w:ascii="Arial" w:hAnsi="Arial" w:cs="Arial"/>
        </w:rPr>
        <w:t xml:space="preserve">. The logistic function shows strong discrimination (i.e. the slope of the curve is steep) </w:t>
      </w:r>
      <w:r w:rsidR="0078464C" w:rsidRPr="00277BEC">
        <w:rPr>
          <w:rFonts w:ascii="Arial" w:hAnsi="Arial" w:cs="Arial"/>
        </w:rPr>
        <w:t>compared with</w:t>
      </w:r>
      <w:r w:rsidRPr="00277BEC">
        <w:rPr>
          <w:rFonts w:ascii="Arial" w:hAnsi="Arial" w:cs="Arial"/>
        </w:rPr>
        <w:t xml:space="preserve"> the curves describing the probability of attaining NCEA </w:t>
      </w:r>
      <w:r w:rsidR="001D320A" w:rsidRPr="00277BEC">
        <w:rPr>
          <w:rFonts w:ascii="Arial" w:hAnsi="Arial" w:cs="Arial"/>
        </w:rPr>
        <w:t xml:space="preserve">requirements and </w:t>
      </w:r>
      <w:r w:rsidRPr="00277BEC">
        <w:rPr>
          <w:rFonts w:ascii="Arial" w:hAnsi="Arial" w:cs="Arial"/>
        </w:rPr>
        <w:t xml:space="preserve">qualifications conditioned on performance on the numeracy scale (Figures </w:t>
      </w:r>
      <w:r w:rsidR="006938E1" w:rsidRPr="00277BEC">
        <w:rPr>
          <w:rFonts w:ascii="Arial" w:hAnsi="Arial" w:cs="Arial"/>
        </w:rPr>
        <w:t>4</w:t>
      </w:r>
      <w:r w:rsidRPr="00277BEC">
        <w:rPr>
          <w:rFonts w:ascii="Arial" w:hAnsi="Arial" w:cs="Arial"/>
        </w:rPr>
        <w:t xml:space="preserve"> and 6)</w:t>
      </w:r>
      <w:r w:rsidR="007A2F7D" w:rsidRPr="00277BEC">
        <w:rPr>
          <w:rFonts w:ascii="Arial" w:hAnsi="Arial" w:cs="Arial"/>
        </w:rPr>
        <w:t xml:space="preserve">. </w:t>
      </w:r>
      <w:r w:rsidRPr="00277BEC">
        <w:rPr>
          <w:rFonts w:ascii="Arial" w:hAnsi="Arial" w:cs="Arial"/>
        </w:rPr>
        <w:t xml:space="preserve">For students at the bottom of </w:t>
      </w:r>
      <w:r w:rsidR="00AC2644">
        <w:rPr>
          <w:rFonts w:ascii="Arial" w:hAnsi="Arial" w:cs="Arial"/>
        </w:rPr>
        <w:t>S</w:t>
      </w:r>
      <w:r w:rsidRPr="00277BEC">
        <w:rPr>
          <w:rFonts w:ascii="Arial" w:hAnsi="Arial" w:cs="Arial"/>
        </w:rPr>
        <w:t xml:space="preserve">tep 2, the probability of being judged </w:t>
      </w:r>
      <w:r w:rsidRPr="00277BEC">
        <w:rPr>
          <w:rFonts w:ascii="Arial" w:hAnsi="Arial" w:cs="Arial"/>
          <w:i/>
        </w:rPr>
        <w:t>at</w:t>
      </w:r>
      <w:r w:rsidRPr="00277BEC">
        <w:rPr>
          <w:rFonts w:ascii="Arial" w:hAnsi="Arial" w:cs="Arial"/>
        </w:rPr>
        <w:t xml:space="preserve"> or </w:t>
      </w:r>
      <w:r w:rsidRPr="00277BEC">
        <w:rPr>
          <w:rFonts w:ascii="Arial" w:hAnsi="Arial" w:cs="Arial"/>
          <w:i/>
        </w:rPr>
        <w:t>above</w:t>
      </w:r>
      <w:r w:rsidRPr="00277BEC">
        <w:rPr>
          <w:rFonts w:ascii="Arial" w:hAnsi="Arial" w:cs="Arial"/>
        </w:rPr>
        <w:t xml:space="preserve"> the standard is just over 10</w:t>
      </w:r>
      <w:r w:rsidR="00AC2644">
        <w:rPr>
          <w:rFonts w:ascii="Arial" w:hAnsi="Arial" w:cs="Arial"/>
        </w:rPr>
        <w:t> percent</w:t>
      </w:r>
      <w:r w:rsidRPr="00277BEC">
        <w:rPr>
          <w:rFonts w:ascii="Arial" w:hAnsi="Arial" w:cs="Arial"/>
        </w:rPr>
        <w:t xml:space="preserve">, for those at the bottom of </w:t>
      </w:r>
      <w:r w:rsidR="00AC2644">
        <w:rPr>
          <w:rFonts w:ascii="Arial" w:hAnsi="Arial" w:cs="Arial"/>
        </w:rPr>
        <w:t>S</w:t>
      </w:r>
      <w:r w:rsidRPr="00277BEC">
        <w:rPr>
          <w:rFonts w:ascii="Arial" w:hAnsi="Arial" w:cs="Arial"/>
        </w:rPr>
        <w:t>tep 3, it is about 40</w:t>
      </w:r>
      <w:r w:rsidR="00AC2644">
        <w:rPr>
          <w:rFonts w:ascii="Arial" w:hAnsi="Arial" w:cs="Arial"/>
        </w:rPr>
        <w:t> percent</w:t>
      </w:r>
      <w:r w:rsidR="00AC2644" w:rsidRPr="00277BEC">
        <w:rPr>
          <w:rFonts w:ascii="Arial" w:hAnsi="Arial" w:cs="Arial"/>
        </w:rPr>
        <w:t xml:space="preserve">, </w:t>
      </w:r>
      <w:r w:rsidRPr="00277BEC">
        <w:rPr>
          <w:rFonts w:ascii="Arial" w:hAnsi="Arial" w:cs="Arial"/>
        </w:rPr>
        <w:t xml:space="preserve">for those at the bottom of </w:t>
      </w:r>
      <w:r w:rsidR="00AC2644">
        <w:rPr>
          <w:rFonts w:ascii="Arial" w:hAnsi="Arial" w:cs="Arial"/>
        </w:rPr>
        <w:t>S</w:t>
      </w:r>
      <w:r w:rsidRPr="00277BEC">
        <w:rPr>
          <w:rFonts w:ascii="Arial" w:hAnsi="Arial" w:cs="Arial"/>
        </w:rPr>
        <w:t xml:space="preserve">tep 4, the probability of being judged </w:t>
      </w:r>
      <w:r w:rsidRPr="00277BEC">
        <w:rPr>
          <w:rFonts w:ascii="Arial" w:hAnsi="Arial" w:cs="Arial"/>
          <w:i/>
        </w:rPr>
        <w:t>at</w:t>
      </w:r>
      <w:r w:rsidRPr="00277BEC">
        <w:rPr>
          <w:rFonts w:ascii="Arial" w:hAnsi="Arial" w:cs="Arial"/>
        </w:rPr>
        <w:t xml:space="preserve"> or </w:t>
      </w:r>
      <w:r w:rsidRPr="00277BEC">
        <w:rPr>
          <w:rFonts w:ascii="Arial" w:hAnsi="Arial" w:cs="Arial"/>
          <w:i/>
        </w:rPr>
        <w:t>above</w:t>
      </w:r>
      <w:r w:rsidRPr="00277BEC">
        <w:rPr>
          <w:rFonts w:ascii="Arial" w:hAnsi="Arial" w:cs="Arial"/>
        </w:rPr>
        <w:t xml:space="preserve"> the standard is around 70</w:t>
      </w:r>
      <w:r w:rsidR="00AC2644">
        <w:rPr>
          <w:rFonts w:ascii="Arial" w:hAnsi="Arial" w:cs="Arial"/>
        </w:rPr>
        <w:t> percent</w:t>
      </w:r>
      <w:r w:rsidR="00AC2644" w:rsidRPr="00277BEC">
        <w:rPr>
          <w:rFonts w:ascii="Arial" w:hAnsi="Arial" w:cs="Arial"/>
        </w:rPr>
        <w:t xml:space="preserve">, </w:t>
      </w:r>
      <w:r w:rsidRPr="00277BEC">
        <w:rPr>
          <w:rFonts w:ascii="Arial" w:hAnsi="Arial" w:cs="Arial"/>
        </w:rPr>
        <w:t xml:space="preserve">and for those at the bottom of </w:t>
      </w:r>
      <w:r w:rsidR="00AC2644">
        <w:rPr>
          <w:rFonts w:ascii="Arial" w:hAnsi="Arial" w:cs="Arial"/>
        </w:rPr>
        <w:t>S</w:t>
      </w:r>
      <w:r w:rsidRPr="00277BEC">
        <w:rPr>
          <w:rFonts w:ascii="Arial" w:hAnsi="Arial" w:cs="Arial"/>
        </w:rPr>
        <w:t>tep</w:t>
      </w:r>
      <w:r w:rsidR="00AC2644">
        <w:rPr>
          <w:rFonts w:ascii="Arial" w:hAnsi="Arial" w:cs="Arial"/>
        </w:rPr>
        <w:t> </w:t>
      </w:r>
      <w:r w:rsidRPr="00277BEC">
        <w:rPr>
          <w:rFonts w:ascii="Arial" w:hAnsi="Arial" w:cs="Arial"/>
        </w:rPr>
        <w:t>5, it is over 90</w:t>
      </w:r>
      <w:r w:rsidR="00AC2644">
        <w:rPr>
          <w:rFonts w:ascii="Arial" w:hAnsi="Arial" w:cs="Arial"/>
        </w:rPr>
        <w:t> percent</w:t>
      </w:r>
      <w:r w:rsidR="00AC2644" w:rsidRPr="00277BEC">
        <w:rPr>
          <w:rFonts w:ascii="Arial" w:hAnsi="Arial" w:cs="Arial"/>
        </w:rPr>
        <w:t>.</w:t>
      </w:r>
    </w:p>
    <w:p w14:paraId="72586259" w14:textId="2FECE43B" w:rsidR="00CC14B7" w:rsidRPr="00277BEC" w:rsidRDefault="00E71291" w:rsidP="00CC14B7">
      <w:pPr>
        <w:pStyle w:val="BodyText"/>
        <w:spacing w:after="0" w:line="276" w:lineRule="auto"/>
        <w:rPr>
          <w:rFonts w:ascii="Arial" w:hAnsi="Arial" w:cs="Arial"/>
        </w:rPr>
      </w:pPr>
      <w:r w:rsidRPr="00277BEC">
        <w:rPr>
          <w:rFonts w:ascii="Arial" w:hAnsi="Arial" w:cs="Arial"/>
          <w:noProof/>
          <w:lang w:val="en-NZ" w:eastAsia="en-NZ"/>
        </w:rPr>
        <w:drawing>
          <wp:inline distT="0" distB="0" distL="0" distR="0" wp14:anchorId="3B85B496" wp14:editId="0432559E">
            <wp:extent cx="4392000" cy="2632170"/>
            <wp:effectExtent l="25400" t="25400" r="27940" b="349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new.png"/>
                    <pic:cNvPicPr/>
                  </pic:nvPicPr>
                  <pic:blipFill>
                    <a:blip r:embed="rId26">
                      <a:extLst>
                        <a:ext uri="{28A0092B-C50C-407E-A947-70E740481C1C}">
                          <a14:useLocalDpi xmlns:a14="http://schemas.microsoft.com/office/drawing/2010/main" val="0"/>
                        </a:ext>
                      </a:extLst>
                    </a:blip>
                    <a:stretch>
                      <a:fillRect/>
                    </a:stretch>
                  </pic:blipFill>
                  <pic:spPr>
                    <a:xfrm>
                      <a:off x="0" y="0"/>
                      <a:ext cx="4392000" cy="2632170"/>
                    </a:xfrm>
                    <a:prstGeom prst="rect">
                      <a:avLst/>
                    </a:prstGeom>
                    <a:ln>
                      <a:solidFill>
                        <a:schemeClr val="bg1">
                          <a:lumMod val="50000"/>
                        </a:schemeClr>
                      </a:solidFill>
                    </a:ln>
                  </pic:spPr>
                </pic:pic>
              </a:graphicData>
            </a:graphic>
          </wp:inline>
        </w:drawing>
      </w:r>
    </w:p>
    <w:p w14:paraId="43C1EDD6" w14:textId="77777777" w:rsidR="00CC14B7" w:rsidRPr="00277BEC" w:rsidRDefault="00CC14B7" w:rsidP="00AC2644">
      <w:pPr>
        <w:pStyle w:val="Caption"/>
        <w:jc w:val="left"/>
        <w:rPr>
          <w:rFonts w:cs="Arial"/>
        </w:rPr>
      </w:pPr>
      <w:bookmarkStart w:id="61" w:name="_Toc417920081"/>
      <w:r w:rsidRPr="00277BEC">
        <w:rPr>
          <w:rFonts w:cs="Arial"/>
          <w:b/>
        </w:rPr>
        <w:t xml:space="preserve">Figure </w:t>
      </w:r>
      <w:r w:rsidR="00D71DDD" w:rsidRPr="00277BEC">
        <w:rPr>
          <w:rFonts w:cs="Arial"/>
          <w:b/>
        </w:rPr>
        <w:fldChar w:fldCharType="begin"/>
      </w:r>
      <w:r w:rsidRPr="00277BEC">
        <w:rPr>
          <w:rFonts w:cs="Arial"/>
          <w:b/>
        </w:rPr>
        <w:instrText xml:space="preserve"> SEQ Figure \* ARABIC </w:instrText>
      </w:r>
      <w:r w:rsidR="00D71DDD" w:rsidRPr="00277BEC">
        <w:rPr>
          <w:rFonts w:cs="Arial"/>
          <w:b/>
        </w:rPr>
        <w:fldChar w:fldCharType="separate"/>
      </w:r>
      <w:r w:rsidR="00277BEC" w:rsidRPr="00277BEC">
        <w:rPr>
          <w:rFonts w:cs="Arial"/>
          <w:b/>
          <w:noProof/>
        </w:rPr>
        <w:t>8</w:t>
      </w:r>
      <w:r w:rsidR="00D71DDD" w:rsidRPr="00277BEC">
        <w:rPr>
          <w:rFonts w:cs="Arial"/>
          <w:b/>
        </w:rPr>
        <w:fldChar w:fldCharType="end"/>
      </w:r>
      <w:r w:rsidR="00F67A2A" w:rsidRPr="00277BEC">
        <w:rPr>
          <w:rFonts w:cs="Arial"/>
        </w:rPr>
        <w:t xml:space="preserve"> </w:t>
      </w:r>
      <w:r w:rsidR="001D320A" w:rsidRPr="00277BEC">
        <w:rPr>
          <w:rFonts w:cs="Arial"/>
        </w:rPr>
        <w:t xml:space="preserve">Probability of being rated </w:t>
      </w:r>
      <w:r w:rsidR="001D320A" w:rsidRPr="00277BEC">
        <w:rPr>
          <w:rFonts w:cs="Arial"/>
          <w:i/>
        </w:rPr>
        <w:t>at</w:t>
      </w:r>
      <w:r w:rsidR="001D320A" w:rsidRPr="00277BEC">
        <w:rPr>
          <w:rFonts w:cs="Arial"/>
        </w:rPr>
        <w:t xml:space="preserve"> or </w:t>
      </w:r>
      <w:r w:rsidRPr="00277BEC">
        <w:rPr>
          <w:rFonts w:cs="Arial"/>
          <w:i/>
        </w:rPr>
        <w:t>above</w:t>
      </w:r>
      <w:r w:rsidRPr="00277BEC">
        <w:rPr>
          <w:rFonts w:cs="Arial"/>
        </w:rPr>
        <w:t xml:space="preserve"> the </w:t>
      </w:r>
      <w:r w:rsidR="00EA6C7C" w:rsidRPr="00277BEC">
        <w:rPr>
          <w:rFonts w:cs="Arial"/>
        </w:rPr>
        <w:t>End of Year 8</w:t>
      </w:r>
      <w:r w:rsidR="001C17F8" w:rsidRPr="00277BEC">
        <w:rPr>
          <w:rFonts w:cs="Arial"/>
        </w:rPr>
        <w:t xml:space="preserve"> Mathematics S</w:t>
      </w:r>
      <w:r w:rsidRPr="00277BEC">
        <w:rPr>
          <w:rFonts w:cs="Arial"/>
        </w:rPr>
        <w:t xml:space="preserve">tandard conditioned on the numeracy scale score. Probabilities were estimated using logistic regression. </w:t>
      </w:r>
      <w:proofErr w:type="gramStart"/>
      <w:r w:rsidRPr="00277BEC">
        <w:rPr>
          <w:rFonts w:cs="Arial"/>
        </w:rPr>
        <w:t>School sample.</w:t>
      </w:r>
      <w:bookmarkEnd w:id="61"/>
      <w:proofErr w:type="gramEnd"/>
      <w:r w:rsidRPr="00277BEC">
        <w:rPr>
          <w:rFonts w:cs="Arial"/>
        </w:rPr>
        <w:t xml:space="preserve"> </w:t>
      </w:r>
    </w:p>
    <w:p w14:paraId="59B0CB13" w14:textId="77777777" w:rsidR="00AC2644" w:rsidRDefault="00AC2644">
      <w:pPr>
        <w:spacing w:after="0" w:line="240" w:lineRule="auto"/>
        <w:jc w:val="left"/>
        <w:rPr>
          <w:rFonts w:ascii="Arial" w:eastAsia="Times" w:hAnsi="Arial" w:cs="Arial"/>
          <w:szCs w:val="20"/>
        </w:rPr>
      </w:pPr>
      <w:r>
        <w:rPr>
          <w:rFonts w:ascii="Arial" w:hAnsi="Arial" w:cs="Arial"/>
        </w:rPr>
        <w:br w:type="page"/>
      </w:r>
    </w:p>
    <w:p w14:paraId="01CE0E2D" w14:textId="1ED56D2F" w:rsidR="00CC14B7" w:rsidRPr="00277BEC" w:rsidRDefault="000539A9" w:rsidP="00AC2644">
      <w:pPr>
        <w:pStyle w:val="BodyText"/>
        <w:jc w:val="left"/>
        <w:rPr>
          <w:rFonts w:ascii="Arial" w:hAnsi="Arial" w:cs="Arial"/>
        </w:rPr>
      </w:pPr>
      <w:r w:rsidRPr="00277BEC">
        <w:rPr>
          <w:rFonts w:ascii="Arial" w:hAnsi="Arial" w:cs="Arial"/>
        </w:rPr>
        <w:lastRenderedPageBreak/>
        <w:t>Table 13</w:t>
      </w:r>
      <w:r w:rsidR="00770505" w:rsidRPr="00277BEC">
        <w:rPr>
          <w:rFonts w:ascii="Arial" w:hAnsi="Arial" w:cs="Arial"/>
        </w:rPr>
        <w:t xml:space="preserve"> shows the empirical percentage of </w:t>
      </w:r>
      <w:r w:rsidR="00AC2644">
        <w:rPr>
          <w:rFonts w:ascii="Arial" w:hAnsi="Arial" w:cs="Arial"/>
        </w:rPr>
        <w:t>Y</w:t>
      </w:r>
      <w:r w:rsidR="000F11C5" w:rsidRPr="00277BEC">
        <w:rPr>
          <w:rFonts w:ascii="Arial" w:hAnsi="Arial" w:cs="Arial"/>
        </w:rPr>
        <w:t>ear</w:t>
      </w:r>
      <w:r w:rsidR="00770505" w:rsidRPr="00277BEC">
        <w:rPr>
          <w:rFonts w:ascii="Arial" w:hAnsi="Arial" w:cs="Arial"/>
        </w:rPr>
        <w:t xml:space="preserve"> 8 students in the school sample at each </w:t>
      </w:r>
      <w:r w:rsidR="006938E1" w:rsidRPr="00277BEC">
        <w:rPr>
          <w:rFonts w:ascii="Arial" w:hAnsi="Arial" w:cs="Arial"/>
        </w:rPr>
        <w:t xml:space="preserve">numeracy </w:t>
      </w:r>
      <w:r w:rsidR="00770505" w:rsidRPr="00277BEC">
        <w:rPr>
          <w:rFonts w:ascii="Arial" w:hAnsi="Arial" w:cs="Arial"/>
        </w:rPr>
        <w:t xml:space="preserve">step judged as being </w:t>
      </w:r>
      <w:r w:rsidR="00770505" w:rsidRPr="00277BEC">
        <w:rPr>
          <w:rFonts w:ascii="Arial" w:hAnsi="Arial" w:cs="Arial"/>
          <w:i/>
        </w:rPr>
        <w:t>at</w:t>
      </w:r>
      <w:r w:rsidR="00770505" w:rsidRPr="00277BEC">
        <w:rPr>
          <w:rFonts w:ascii="Arial" w:hAnsi="Arial" w:cs="Arial"/>
        </w:rPr>
        <w:t xml:space="preserve"> or </w:t>
      </w:r>
      <w:r w:rsidR="00770505" w:rsidRPr="00277BEC">
        <w:rPr>
          <w:rFonts w:ascii="Arial" w:hAnsi="Arial" w:cs="Arial"/>
          <w:i/>
        </w:rPr>
        <w:t>above</w:t>
      </w:r>
      <w:r w:rsidR="00770505" w:rsidRPr="00277BEC">
        <w:rPr>
          <w:rFonts w:ascii="Arial" w:hAnsi="Arial" w:cs="Arial"/>
        </w:rPr>
        <w:t xml:space="preserve"> the </w:t>
      </w:r>
      <w:r w:rsidR="001C17F8" w:rsidRPr="00277BEC">
        <w:rPr>
          <w:rFonts w:ascii="Arial" w:hAnsi="Arial" w:cs="Arial"/>
        </w:rPr>
        <w:t>End of Year 8 Mathematics Standard</w:t>
      </w:r>
      <w:r w:rsidR="00770505" w:rsidRPr="00277BEC">
        <w:rPr>
          <w:rFonts w:ascii="Arial" w:hAnsi="Arial" w:cs="Arial"/>
        </w:rPr>
        <w:t xml:space="preserve">. These figures include students at </w:t>
      </w:r>
      <w:r w:rsidR="00770505" w:rsidRPr="00277BEC">
        <w:rPr>
          <w:rFonts w:ascii="Arial" w:hAnsi="Arial" w:cs="Arial"/>
          <w:i/>
        </w:rPr>
        <w:t>all</w:t>
      </w:r>
      <w:r w:rsidR="00770505" w:rsidRPr="00277BEC">
        <w:rPr>
          <w:rFonts w:ascii="Arial" w:hAnsi="Arial" w:cs="Arial"/>
        </w:rPr>
        <w:t xml:space="preserve"> scores within each step, and are therefore somewhat higher than the probabilities estimated in relation to Figure 8 which are based on the </w:t>
      </w:r>
      <w:r w:rsidR="00770505" w:rsidRPr="00277BEC">
        <w:rPr>
          <w:rFonts w:ascii="Arial" w:hAnsi="Arial" w:cs="Arial"/>
          <w:i/>
        </w:rPr>
        <w:t>minimum</w:t>
      </w:r>
      <w:r w:rsidR="00770505" w:rsidRPr="00277BEC">
        <w:rPr>
          <w:rFonts w:ascii="Arial" w:hAnsi="Arial" w:cs="Arial"/>
        </w:rPr>
        <w:t xml:space="preserve"> score for each step. </w:t>
      </w:r>
    </w:p>
    <w:p w14:paraId="5902893F" w14:textId="7CCA6329" w:rsidR="00CC14B7" w:rsidRPr="00277BEC" w:rsidRDefault="00CC14B7" w:rsidP="00AC2644">
      <w:pPr>
        <w:pStyle w:val="Caption"/>
        <w:jc w:val="left"/>
        <w:rPr>
          <w:rFonts w:cs="Arial"/>
        </w:rPr>
      </w:pPr>
      <w:bookmarkStart w:id="62" w:name="_Toc270604930"/>
      <w:r w:rsidRPr="00277BEC">
        <w:rPr>
          <w:rFonts w:cs="Arial"/>
          <w:b/>
        </w:rPr>
        <w:t xml:space="preserve">Table </w:t>
      </w:r>
      <w:r w:rsidR="00D71DDD" w:rsidRPr="00277BEC">
        <w:rPr>
          <w:rFonts w:cs="Arial"/>
          <w:b/>
        </w:rPr>
        <w:fldChar w:fldCharType="begin"/>
      </w:r>
      <w:r w:rsidRPr="00277BEC">
        <w:rPr>
          <w:rFonts w:cs="Arial"/>
          <w:b/>
        </w:rPr>
        <w:instrText xml:space="preserve"> SEQ Table \* ARABIC </w:instrText>
      </w:r>
      <w:r w:rsidR="00D71DDD" w:rsidRPr="00277BEC">
        <w:rPr>
          <w:rFonts w:cs="Arial"/>
          <w:b/>
        </w:rPr>
        <w:fldChar w:fldCharType="separate"/>
      </w:r>
      <w:r w:rsidR="00277BEC" w:rsidRPr="00277BEC">
        <w:rPr>
          <w:rFonts w:cs="Arial"/>
          <w:b/>
          <w:noProof/>
        </w:rPr>
        <w:t>13</w:t>
      </w:r>
      <w:r w:rsidR="00D71DDD" w:rsidRPr="00277BEC">
        <w:rPr>
          <w:rFonts w:cs="Arial"/>
          <w:b/>
        </w:rPr>
        <w:fldChar w:fldCharType="end"/>
      </w:r>
      <w:r w:rsidR="00F67A2A" w:rsidRPr="00277BEC">
        <w:rPr>
          <w:rFonts w:cs="Arial"/>
        </w:rPr>
        <w:t xml:space="preserve"> </w:t>
      </w:r>
      <w:r w:rsidRPr="00277BEC">
        <w:rPr>
          <w:rFonts w:cs="Arial"/>
        </w:rPr>
        <w:t xml:space="preserve">Percentages and numbers of </w:t>
      </w:r>
      <w:r w:rsidR="000F11C5" w:rsidRPr="00277BEC">
        <w:rPr>
          <w:rFonts w:cs="Arial"/>
        </w:rPr>
        <w:t>year</w:t>
      </w:r>
      <w:r w:rsidRPr="00277BEC">
        <w:rPr>
          <w:rFonts w:cs="Arial"/>
        </w:rPr>
        <w:t xml:space="preserve"> 8 students from the school sample </w:t>
      </w:r>
      <w:r w:rsidRPr="00277BEC">
        <w:rPr>
          <w:rFonts w:cs="Arial"/>
          <w:i/>
        </w:rPr>
        <w:t>at</w:t>
      </w:r>
      <w:r w:rsidRPr="00277BEC">
        <w:rPr>
          <w:rFonts w:cs="Arial"/>
        </w:rPr>
        <w:t xml:space="preserve"> or </w:t>
      </w:r>
      <w:r w:rsidRPr="00277BEC">
        <w:rPr>
          <w:rFonts w:cs="Arial"/>
          <w:i/>
        </w:rPr>
        <w:t>above</w:t>
      </w:r>
      <w:r w:rsidRPr="00277BEC">
        <w:rPr>
          <w:rFonts w:cs="Arial"/>
        </w:rPr>
        <w:t xml:space="preserve"> </w:t>
      </w:r>
      <w:r w:rsidR="001C17F8" w:rsidRPr="00277BEC">
        <w:rPr>
          <w:rFonts w:cs="Arial"/>
        </w:rPr>
        <w:t xml:space="preserve">the </w:t>
      </w:r>
      <w:r w:rsidR="00EA6C7C" w:rsidRPr="00277BEC">
        <w:rPr>
          <w:rFonts w:cs="Arial"/>
        </w:rPr>
        <w:t>End of Year 8</w:t>
      </w:r>
      <w:r w:rsidR="006938E1" w:rsidRPr="00277BEC">
        <w:rPr>
          <w:rFonts w:cs="Arial"/>
        </w:rPr>
        <w:t xml:space="preserve"> Mathematics Standard</w:t>
      </w:r>
      <w:r w:rsidRPr="00277BEC">
        <w:rPr>
          <w:rFonts w:cs="Arial"/>
        </w:rPr>
        <w:t xml:space="preserve"> disaggregated by </w:t>
      </w:r>
      <w:r w:rsidR="006938E1" w:rsidRPr="00277BEC">
        <w:rPr>
          <w:rFonts w:cs="Arial"/>
        </w:rPr>
        <w:t>numeracy</w:t>
      </w:r>
      <w:r w:rsidRPr="00277BEC">
        <w:rPr>
          <w:rFonts w:cs="Arial"/>
        </w:rPr>
        <w:t xml:space="preserve"> step</w:t>
      </w:r>
      <w:r w:rsidR="001C17F8" w:rsidRPr="00277BEC">
        <w:rPr>
          <w:rFonts w:cs="Arial"/>
        </w:rPr>
        <w:t>.</w:t>
      </w:r>
      <w:bookmarkEnd w:id="62"/>
      <w:r w:rsidRPr="00277BEC">
        <w:rPr>
          <w:rFonts w:cs="Arial"/>
        </w:rPr>
        <w:t xml:space="preserve"> </w:t>
      </w:r>
    </w:p>
    <w:tbl>
      <w:tblPr>
        <w:tblW w:w="8505"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83"/>
        <w:gridCol w:w="3975"/>
        <w:gridCol w:w="2437"/>
      </w:tblGrid>
      <w:tr w:rsidR="00CC14B7" w:rsidRPr="00277BEC" w14:paraId="384C0F68" w14:textId="77777777" w:rsidTr="00054FEA">
        <w:trPr>
          <w:trHeight w:val="986"/>
          <w:tblCellSpacing w:w="20" w:type="dxa"/>
        </w:trPr>
        <w:tc>
          <w:tcPr>
            <w:tcW w:w="2093" w:type="dxa"/>
            <w:shd w:val="clear" w:color="auto" w:fill="auto"/>
            <w:vAlign w:val="bottom"/>
            <w:hideMark/>
          </w:tcPr>
          <w:p w14:paraId="515818DE" w14:textId="77777777" w:rsidR="00CC14B7" w:rsidRPr="00277BEC" w:rsidRDefault="00CC14B7" w:rsidP="008D0F56">
            <w:pPr>
              <w:pStyle w:val="Tabletext"/>
              <w:jc w:val="left"/>
              <w:rPr>
                <w:lang w:eastAsia="en-NZ"/>
              </w:rPr>
            </w:pPr>
            <w:r w:rsidRPr="00277BEC">
              <w:rPr>
                <w:lang w:eastAsia="en-NZ"/>
              </w:rPr>
              <w:t>Numeracy Step</w:t>
            </w:r>
          </w:p>
        </w:tc>
        <w:tc>
          <w:tcPr>
            <w:tcW w:w="3905" w:type="dxa"/>
            <w:shd w:val="clear" w:color="auto" w:fill="auto"/>
            <w:vAlign w:val="bottom"/>
            <w:hideMark/>
          </w:tcPr>
          <w:p w14:paraId="3BBEEB78" w14:textId="77777777" w:rsidR="00CC14B7" w:rsidRPr="00277BEC" w:rsidRDefault="00CC14B7" w:rsidP="008D0F56">
            <w:pPr>
              <w:pStyle w:val="Tabletext"/>
              <w:jc w:val="left"/>
              <w:rPr>
                <w:lang w:eastAsia="en-NZ"/>
              </w:rPr>
            </w:pPr>
            <w:r w:rsidRPr="00277BEC">
              <w:rPr>
                <w:lang w:eastAsia="en-NZ"/>
              </w:rPr>
              <w:t xml:space="preserve">Percentage </w:t>
            </w:r>
            <w:r w:rsidRPr="00277BEC">
              <w:rPr>
                <w:i/>
                <w:lang w:eastAsia="en-NZ"/>
              </w:rPr>
              <w:t>at</w:t>
            </w:r>
            <w:r w:rsidRPr="00277BEC">
              <w:rPr>
                <w:lang w:eastAsia="en-NZ"/>
              </w:rPr>
              <w:t xml:space="preserve"> or </w:t>
            </w:r>
            <w:r w:rsidRPr="00277BEC">
              <w:rPr>
                <w:i/>
                <w:lang w:eastAsia="en-NZ"/>
              </w:rPr>
              <w:t>above</w:t>
            </w:r>
            <w:r w:rsidRPr="00277BEC">
              <w:rPr>
                <w:lang w:eastAsia="en-NZ"/>
              </w:rPr>
              <w:t xml:space="preserve"> </w:t>
            </w:r>
            <w:r w:rsidR="001D320A" w:rsidRPr="00277BEC">
              <w:rPr>
                <w:lang w:eastAsia="en-NZ"/>
              </w:rPr>
              <w:t>The End of Year 8 M</w:t>
            </w:r>
            <w:r w:rsidRPr="00277BEC">
              <w:rPr>
                <w:lang w:eastAsia="en-NZ"/>
              </w:rPr>
              <w:t xml:space="preserve">athematics </w:t>
            </w:r>
            <w:r w:rsidR="001D320A" w:rsidRPr="00277BEC">
              <w:rPr>
                <w:lang w:eastAsia="en-NZ"/>
              </w:rPr>
              <w:t>Standard</w:t>
            </w:r>
          </w:p>
        </w:tc>
        <w:tc>
          <w:tcPr>
            <w:tcW w:w="2347" w:type="dxa"/>
            <w:shd w:val="clear" w:color="auto" w:fill="auto"/>
            <w:vAlign w:val="bottom"/>
            <w:hideMark/>
          </w:tcPr>
          <w:p w14:paraId="265C26DF" w14:textId="77777777" w:rsidR="00CC14B7" w:rsidRPr="00277BEC" w:rsidRDefault="00CC14B7" w:rsidP="008D0F56">
            <w:pPr>
              <w:pStyle w:val="Tabletext"/>
              <w:jc w:val="left"/>
              <w:rPr>
                <w:lang w:eastAsia="en-NZ"/>
              </w:rPr>
            </w:pPr>
            <w:r w:rsidRPr="00277BEC">
              <w:rPr>
                <w:lang w:eastAsia="en-NZ"/>
              </w:rPr>
              <w:t>Number at Step</w:t>
            </w:r>
          </w:p>
        </w:tc>
      </w:tr>
      <w:tr w:rsidR="00CC14B7" w:rsidRPr="00277BEC" w14:paraId="395EB5B4" w14:textId="77777777" w:rsidTr="00054FEA">
        <w:trPr>
          <w:trHeight w:val="300"/>
          <w:tblCellSpacing w:w="20" w:type="dxa"/>
        </w:trPr>
        <w:tc>
          <w:tcPr>
            <w:tcW w:w="2093" w:type="dxa"/>
            <w:shd w:val="clear" w:color="auto" w:fill="auto"/>
            <w:noWrap/>
            <w:vAlign w:val="bottom"/>
            <w:hideMark/>
          </w:tcPr>
          <w:p w14:paraId="58F7CCD1" w14:textId="77777777" w:rsidR="00CC14B7" w:rsidRPr="00277BEC" w:rsidRDefault="00CC14B7" w:rsidP="00F94E4D">
            <w:pPr>
              <w:pStyle w:val="Tabletext"/>
              <w:rPr>
                <w:lang w:eastAsia="en-NZ"/>
              </w:rPr>
            </w:pPr>
            <w:r w:rsidRPr="00277BEC">
              <w:rPr>
                <w:lang w:eastAsia="en-NZ"/>
              </w:rPr>
              <w:t>1</w:t>
            </w:r>
          </w:p>
        </w:tc>
        <w:tc>
          <w:tcPr>
            <w:tcW w:w="3905" w:type="dxa"/>
            <w:shd w:val="clear" w:color="auto" w:fill="auto"/>
            <w:noWrap/>
            <w:vAlign w:val="bottom"/>
            <w:hideMark/>
          </w:tcPr>
          <w:p w14:paraId="35794511" w14:textId="77777777" w:rsidR="00CC14B7" w:rsidRPr="00277BEC" w:rsidRDefault="00CC14B7" w:rsidP="00F94E4D">
            <w:pPr>
              <w:pStyle w:val="Tabletext"/>
              <w:rPr>
                <w:lang w:eastAsia="en-NZ"/>
              </w:rPr>
            </w:pPr>
            <w:r w:rsidRPr="00277BEC">
              <w:rPr>
                <w:lang w:eastAsia="en-NZ"/>
              </w:rPr>
              <w:t>21.4</w:t>
            </w:r>
          </w:p>
        </w:tc>
        <w:tc>
          <w:tcPr>
            <w:tcW w:w="2347" w:type="dxa"/>
            <w:shd w:val="clear" w:color="auto" w:fill="auto"/>
            <w:noWrap/>
            <w:vAlign w:val="bottom"/>
            <w:hideMark/>
          </w:tcPr>
          <w:p w14:paraId="085B8089" w14:textId="77777777" w:rsidR="00CC14B7" w:rsidRPr="00277BEC" w:rsidRDefault="00CC14B7" w:rsidP="00F94E4D">
            <w:pPr>
              <w:pStyle w:val="Tabletext"/>
              <w:rPr>
                <w:lang w:eastAsia="en-NZ"/>
              </w:rPr>
            </w:pPr>
            <w:r w:rsidRPr="00277BEC">
              <w:rPr>
                <w:lang w:eastAsia="en-NZ"/>
              </w:rPr>
              <w:t>28</w:t>
            </w:r>
          </w:p>
        </w:tc>
      </w:tr>
      <w:tr w:rsidR="00CC14B7" w:rsidRPr="00277BEC" w14:paraId="18E3504B" w14:textId="77777777" w:rsidTr="00054FEA">
        <w:trPr>
          <w:trHeight w:val="300"/>
          <w:tblCellSpacing w:w="20" w:type="dxa"/>
        </w:trPr>
        <w:tc>
          <w:tcPr>
            <w:tcW w:w="2093" w:type="dxa"/>
            <w:shd w:val="clear" w:color="auto" w:fill="auto"/>
            <w:noWrap/>
            <w:vAlign w:val="bottom"/>
            <w:hideMark/>
          </w:tcPr>
          <w:p w14:paraId="016D7B22" w14:textId="77777777" w:rsidR="00CC14B7" w:rsidRPr="00277BEC" w:rsidRDefault="00CC14B7" w:rsidP="00F94E4D">
            <w:pPr>
              <w:pStyle w:val="Tabletext"/>
              <w:rPr>
                <w:lang w:eastAsia="en-NZ"/>
              </w:rPr>
            </w:pPr>
            <w:r w:rsidRPr="00277BEC">
              <w:rPr>
                <w:lang w:eastAsia="en-NZ"/>
              </w:rPr>
              <w:t>2</w:t>
            </w:r>
          </w:p>
        </w:tc>
        <w:tc>
          <w:tcPr>
            <w:tcW w:w="3905" w:type="dxa"/>
            <w:shd w:val="clear" w:color="auto" w:fill="auto"/>
            <w:noWrap/>
            <w:vAlign w:val="bottom"/>
            <w:hideMark/>
          </w:tcPr>
          <w:p w14:paraId="6019786E" w14:textId="77777777" w:rsidR="00CC14B7" w:rsidRPr="00277BEC" w:rsidRDefault="00CC14B7" w:rsidP="00F94E4D">
            <w:pPr>
              <w:pStyle w:val="Tabletext"/>
              <w:rPr>
                <w:lang w:eastAsia="en-NZ"/>
              </w:rPr>
            </w:pPr>
            <w:r w:rsidRPr="00277BEC">
              <w:rPr>
                <w:lang w:eastAsia="en-NZ"/>
              </w:rPr>
              <w:t>23.4</w:t>
            </w:r>
          </w:p>
        </w:tc>
        <w:tc>
          <w:tcPr>
            <w:tcW w:w="2347" w:type="dxa"/>
            <w:shd w:val="clear" w:color="auto" w:fill="auto"/>
            <w:noWrap/>
            <w:vAlign w:val="bottom"/>
            <w:hideMark/>
          </w:tcPr>
          <w:p w14:paraId="4C2DECD4" w14:textId="77777777" w:rsidR="00CC14B7" w:rsidRPr="00277BEC" w:rsidRDefault="00CC14B7" w:rsidP="00F94E4D">
            <w:pPr>
              <w:pStyle w:val="Tabletext"/>
              <w:rPr>
                <w:lang w:eastAsia="en-NZ"/>
              </w:rPr>
            </w:pPr>
            <w:r w:rsidRPr="00277BEC">
              <w:rPr>
                <w:lang w:eastAsia="en-NZ"/>
              </w:rPr>
              <w:t>77</w:t>
            </w:r>
          </w:p>
        </w:tc>
      </w:tr>
      <w:tr w:rsidR="00CC14B7" w:rsidRPr="00277BEC" w14:paraId="15C8F977" w14:textId="77777777" w:rsidTr="00054FEA">
        <w:trPr>
          <w:trHeight w:val="300"/>
          <w:tblCellSpacing w:w="20" w:type="dxa"/>
        </w:trPr>
        <w:tc>
          <w:tcPr>
            <w:tcW w:w="2093" w:type="dxa"/>
            <w:shd w:val="clear" w:color="auto" w:fill="auto"/>
            <w:noWrap/>
            <w:vAlign w:val="bottom"/>
            <w:hideMark/>
          </w:tcPr>
          <w:p w14:paraId="638C0777" w14:textId="77777777" w:rsidR="00CC14B7" w:rsidRPr="00277BEC" w:rsidRDefault="00CC14B7" w:rsidP="00F94E4D">
            <w:pPr>
              <w:pStyle w:val="Tabletext"/>
              <w:rPr>
                <w:lang w:eastAsia="en-NZ"/>
              </w:rPr>
            </w:pPr>
            <w:r w:rsidRPr="00277BEC">
              <w:rPr>
                <w:lang w:eastAsia="en-NZ"/>
              </w:rPr>
              <w:t>3</w:t>
            </w:r>
          </w:p>
        </w:tc>
        <w:tc>
          <w:tcPr>
            <w:tcW w:w="3905" w:type="dxa"/>
            <w:shd w:val="clear" w:color="auto" w:fill="auto"/>
            <w:noWrap/>
            <w:vAlign w:val="bottom"/>
            <w:hideMark/>
          </w:tcPr>
          <w:p w14:paraId="0E073F3E" w14:textId="77777777" w:rsidR="00CC14B7" w:rsidRPr="00277BEC" w:rsidRDefault="00CC14B7" w:rsidP="00F94E4D">
            <w:pPr>
              <w:pStyle w:val="Tabletext"/>
              <w:rPr>
                <w:lang w:eastAsia="en-NZ"/>
              </w:rPr>
            </w:pPr>
            <w:r w:rsidRPr="00277BEC">
              <w:rPr>
                <w:lang w:eastAsia="en-NZ"/>
              </w:rPr>
              <w:t>51.5</w:t>
            </w:r>
          </w:p>
        </w:tc>
        <w:tc>
          <w:tcPr>
            <w:tcW w:w="2347" w:type="dxa"/>
            <w:shd w:val="clear" w:color="auto" w:fill="auto"/>
            <w:noWrap/>
            <w:vAlign w:val="bottom"/>
            <w:hideMark/>
          </w:tcPr>
          <w:p w14:paraId="4711ED4A" w14:textId="77777777" w:rsidR="00CC14B7" w:rsidRPr="00277BEC" w:rsidRDefault="00CC14B7" w:rsidP="00F94E4D">
            <w:pPr>
              <w:pStyle w:val="Tabletext"/>
              <w:rPr>
                <w:lang w:eastAsia="en-NZ"/>
              </w:rPr>
            </w:pPr>
            <w:r w:rsidRPr="00277BEC">
              <w:rPr>
                <w:lang w:eastAsia="en-NZ"/>
              </w:rPr>
              <w:t>204</w:t>
            </w:r>
          </w:p>
        </w:tc>
      </w:tr>
      <w:tr w:rsidR="00CC14B7" w:rsidRPr="00277BEC" w14:paraId="19A81EAA" w14:textId="77777777" w:rsidTr="00054FEA">
        <w:trPr>
          <w:trHeight w:val="300"/>
          <w:tblCellSpacing w:w="20" w:type="dxa"/>
        </w:trPr>
        <w:tc>
          <w:tcPr>
            <w:tcW w:w="2093" w:type="dxa"/>
            <w:shd w:val="clear" w:color="auto" w:fill="auto"/>
            <w:noWrap/>
            <w:vAlign w:val="bottom"/>
            <w:hideMark/>
          </w:tcPr>
          <w:p w14:paraId="5A170BF1" w14:textId="77777777" w:rsidR="00CC14B7" w:rsidRPr="00277BEC" w:rsidRDefault="00CC14B7" w:rsidP="00F94E4D">
            <w:pPr>
              <w:pStyle w:val="Tabletext"/>
              <w:rPr>
                <w:lang w:eastAsia="en-NZ"/>
              </w:rPr>
            </w:pPr>
            <w:r w:rsidRPr="00277BEC">
              <w:rPr>
                <w:lang w:eastAsia="en-NZ"/>
              </w:rPr>
              <w:t>4</w:t>
            </w:r>
          </w:p>
        </w:tc>
        <w:tc>
          <w:tcPr>
            <w:tcW w:w="3905" w:type="dxa"/>
            <w:shd w:val="clear" w:color="auto" w:fill="auto"/>
            <w:noWrap/>
            <w:vAlign w:val="bottom"/>
            <w:hideMark/>
          </w:tcPr>
          <w:p w14:paraId="413201DB" w14:textId="77777777" w:rsidR="00CC14B7" w:rsidRPr="00277BEC" w:rsidRDefault="00CC14B7" w:rsidP="00F94E4D">
            <w:pPr>
              <w:pStyle w:val="Tabletext"/>
              <w:rPr>
                <w:lang w:eastAsia="en-NZ"/>
              </w:rPr>
            </w:pPr>
            <w:r w:rsidRPr="00277BEC">
              <w:rPr>
                <w:lang w:eastAsia="en-NZ"/>
              </w:rPr>
              <w:t>83.4</w:t>
            </w:r>
          </w:p>
        </w:tc>
        <w:tc>
          <w:tcPr>
            <w:tcW w:w="2347" w:type="dxa"/>
            <w:shd w:val="clear" w:color="auto" w:fill="auto"/>
            <w:noWrap/>
            <w:vAlign w:val="bottom"/>
            <w:hideMark/>
          </w:tcPr>
          <w:p w14:paraId="367DF837" w14:textId="77777777" w:rsidR="00CC14B7" w:rsidRPr="00277BEC" w:rsidRDefault="00CC14B7" w:rsidP="00F94E4D">
            <w:pPr>
              <w:pStyle w:val="Tabletext"/>
              <w:rPr>
                <w:lang w:eastAsia="en-NZ"/>
              </w:rPr>
            </w:pPr>
            <w:r w:rsidRPr="00277BEC">
              <w:rPr>
                <w:lang w:eastAsia="en-NZ"/>
              </w:rPr>
              <w:t>343</w:t>
            </w:r>
          </w:p>
        </w:tc>
      </w:tr>
      <w:tr w:rsidR="00CC14B7" w:rsidRPr="00277BEC" w14:paraId="63402FA4" w14:textId="77777777" w:rsidTr="00054FEA">
        <w:trPr>
          <w:trHeight w:val="300"/>
          <w:tblCellSpacing w:w="20" w:type="dxa"/>
        </w:trPr>
        <w:tc>
          <w:tcPr>
            <w:tcW w:w="2093" w:type="dxa"/>
            <w:shd w:val="clear" w:color="auto" w:fill="auto"/>
            <w:noWrap/>
            <w:vAlign w:val="bottom"/>
            <w:hideMark/>
          </w:tcPr>
          <w:p w14:paraId="61AD1A93" w14:textId="77777777" w:rsidR="00CC14B7" w:rsidRPr="00277BEC" w:rsidRDefault="00CC14B7" w:rsidP="00F94E4D">
            <w:pPr>
              <w:pStyle w:val="Tabletext"/>
              <w:rPr>
                <w:lang w:eastAsia="en-NZ"/>
              </w:rPr>
            </w:pPr>
            <w:r w:rsidRPr="00277BEC">
              <w:rPr>
                <w:lang w:eastAsia="en-NZ"/>
              </w:rPr>
              <w:t>5</w:t>
            </w:r>
          </w:p>
        </w:tc>
        <w:tc>
          <w:tcPr>
            <w:tcW w:w="3905" w:type="dxa"/>
            <w:shd w:val="clear" w:color="auto" w:fill="auto"/>
            <w:noWrap/>
            <w:vAlign w:val="bottom"/>
            <w:hideMark/>
          </w:tcPr>
          <w:p w14:paraId="48E169CB" w14:textId="77777777" w:rsidR="00CC14B7" w:rsidRPr="00277BEC" w:rsidRDefault="00CC14B7" w:rsidP="00F94E4D">
            <w:pPr>
              <w:pStyle w:val="Tabletext"/>
              <w:rPr>
                <w:lang w:eastAsia="en-NZ"/>
              </w:rPr>
            </w:pPr>
            <w:r w:rsidRPr="00277BEC">
              <w:rPr>
                <w:lang w:eastAsia="en-NZ"/>
              </w:rPr>
              <w:t>97.4</w:t>
            </w:r>
          </w:p>
        </w:tc>
        <w:tc>
          <w:tcPr>
            <w:tcW w:w="2347" w:type="dxa"/>
            <w:shd w:val="clear" w:color="auto" w:fill="auto"/>
            <w:noWrap/>
            <w:vAlign w:val="bottom"/>
            <w:hideMark/>
          </w:tcPr>
          <w:p w14:paraId="0AA47C46" w14:textId="77777777" w:rsidR="00CC14B7" w:rsidRPr="00277BEC" w:rsidRDefault="00CC14B7" w:rsidP="00F94E4D">
            <w:pPr>
              <w:pStyle w:val="Tabletext"/>
              <w:rPr>
                <w:lang w:eastAsia="en-NZ"/>
              </w:rPr>
            </w:pPr>
            <w:r w:rsidRPr="00277BEC">
              <w:rPr>
                <w:lang w:eastAsia="en-NZ"/>
              </w:rPr>
              <w:t>231</w:t>
            </w:r>
          </w:p>
        </w:tc>
      </w:tr>
      <w:tr w:rsidR="00CC14B7" w:rsidRPr="00277BEC" w14:paraId="3C1277CB" w14:textId="77777777" w:rsidTr="00054FEA">
        <w:trPr>
          <w:trHeight w:val="300"/>
          <w:tblCellSpacing w:w="20" w:type="dxa"/>
        </w:trPr>
        <w:tc>
          <w:tcPr>
            <w:tcW w:w="2093" w:type="dxa"/>
            <w:shd w:val="clear" w:color="auto" w:fill="auto"/>
            <w:noWrap/>
            <w:vAlign w:val="bottom"/>
            <w:hideMark/>
          </w:tcPr>
          <w:p w14:paraId="307098D8" w14:textId="77777777" w:rsidR="00CC14B7" w:rsidRPr="00277BEC" w:rsidRDefault="00CC14B7" w:rsidP="00F94E4D">
            <w:pPr>
              <w:pStyle w:val="Tabletext"/>
              <w:rPr>
                <w:lang w:eastAsia="en-NZ"/>
              </w:rPr>
            </w:pPr>
            <w:r w:rsidRPr="00277BEC">
              <w:rPr>
                <w:lang w:eastAsia="en-NZ"/>
              </w:rPr>
              <w:t>6</w:t>
            </w:r>
          </w:p>
        </w:tc>
        <w:tc>
          <w:tcPr>
            <w:tcW w:w="3905" w:type="dxa"/>
            <w:shd w:val="clear" w:color="auto" w:fill="auto"/>
            <w:noWrap/>
            <w:vAlign w:val="bottom"/>
            <w:hideMark/>
          </w:tcPr>
          <w:p w14:paraId="6AA47061" w14:textId="77777777" w:rsidR="00CC14B7" w:rsidRPr="00277BEC" w:rsidRDefault="00CC14B7" w:rsidP="00F94E4D">
            <w:pPr>
              <w:pStyle w:val="Tabletext"/>
              <w:rPr>
                <w:lang w:eastAsia="en-NZ"/>
              </w:rPr>
            </w:pPr>
            <w:r w:rsidRPr="00277BEC">
              <w:rPr>
                <w:lang w:eastAsia="en-NZ"/>
              </w:rPr>
              <w:t>100</w:t>
            </w:r>
          </w:p>
        </w:tc>
        <w:tc>
          <w:tcPr>
            <w:tcW w:w="2347" w:type="dxa"/>
            <w:shd w:val="clear" w:color="auto" w:fill="auto"/>
            <w:noWrap/>
            <w:vAlign w:val="bottom"/>
            <w:hideMark/>
          </w:tcPr>
          <w:p w14:paraId="4178383E" w14:textId="77777777" w:rsidR="00CC14B7" w:rsidRPr="00277BEC" w:rsidRDefault="00CC14B7" w:rsidP="00F94E4D">
            <w:pPr>
              <w:pStyle w:val="Tabletext"/>
              <w:rPr>
                <w:lang w:eastAsia="en-NZ"/>
              </w:rPr>
            </w:pPr>
            <w:r w:rsidRPr="00277BEC">
              <w:rPr>
                <w:lang w:eastAsia="en-NZ"/>
              </w:rPr>
              <w:t>100</w:t>
            </w:r>
          </w:p>
        </w:tc>
      </w:tr>
    </w:tbl>
    <w:p w14:paraId="2B8A7559" w14:textId="2A76A488" w:rsidR="002C4864" w:rsidRPr="00277BEC" w:rsidRDefault="00770505" w:rsidP="00AC2644">
      <w:pPr>
        <w:pStyle w:val="BodyText"/>
        <w:spacing w:before="120"/>
        <w:jc w:val="left"/>
        <w:rPr>
          <w:rFonts w:ascii="Arial" w:hAnsi="Arial" w:cs="Arial"/>
        </w:rPr>
      </w:pPr>
      <w:r w:rsidRPr="00277BEC">
        <w:rPr>
          <w:rFonts w:ascii="Arial" w:hAnsi="Arial" w:cs="Arial"/>
        </w:rPr>
        <w:t xml:space="preserve">Figure 9 shows the results of a logistic regression analysis describing the probability of being judged </w:t>
      </w:r>
      <w:r w:rsidRPr="00277BEC">
        <w:rPr>
          <w:rFonts w:ascii="Arial" w:hAnsi="Arial" w:cs="Arial"/>
          <w:i/>
        </w:rPr>
        <w:t>at</w:t>
      </w:r>
      <w:r w:rsidRPr="00277BEC">
        <w:rPr>
          <w:rFonts w:ascii="Arial" w:hAnsi="Arial" w:cs="Arial"/>
        </w:rPr>
        <w:t xml:space="preserve"> or </w:t>
      </w:r>
      <w:r w:rsidRPr="00277BEC">
        <w:rPr>
          <w:rFonts w:ascii="Arial" w:hAnsi="Arial" w:cs="Arial"/>
          <w:i/>
        </w:rPr>
        <w:t>above</w:t>
      </w:r>
      <w:r w:rsidRPr="00277BEC">
        <w:rPr>
          <w:rFonts w:ascii="Arial" w:hAnsi="Arial" w:cs="Arial"/>
        </w:rPr>
        <w:t xml:space="preserve"> the </w:t>
      </w:r>
      <w:r w:rsidR="00EA6C7C" w:rsidRPr="00277BEC">
        <w:rPr>
          <w:rFonts w:ascii="Arial" w:hAnsi="Arial" w:cs="Arial"/>
        </w:rPr>
        <w:t>End of Year 8</w:t>
      </w:r>
      <w:r w:rsidR="006938E1" w:rsidRPr="00277BEC">
        <w:rPr>
          <w:rFonts w:ascii="Arial" w:hAnsi="Arial" w:cs="Arial"/>
        </w:rPr>
        <w:t xml:space="preserve"> Reading Standard</w:t>
      </w:r>
      <w:r w:rsidRPr="00277BEC">
        <w:rPr>
          <w:rFonts w:ascii="Arial" w:hAnsi="Arial" w:cs="Arial"/>
        </w:rPr>
        <w:t xml:space="preserve"> conditioned on performance on the reading </w:t>
      </w:r>
      <w:r w:rsidR="006938E1" w:rsidRPr="00277BEC">
        <w:rPr>
          <w:rFonts w:ascii="Arial" w:hAnsi="Arial" w:cs="Arial"/>
        </w:rPr>
        <w:t>scale</w:t>
      </w:r>
      <w:r w:rsidRPr="00277BEC">
        <w:rPr>
          <w:rFonts w:ascii="Arial" w:hAnsi="Arial" w:cs="Arial"/>
        </w:rPr>
        <w:t xml:space="preserve">. Again, the logistic function shows relatively strong </w:t>
      </w:r>
      <w:r w:rsidR="006938E1" w:rsidRPr="00277BEC">
        <w:rPr>
          <w:rFonts w:ascii="Arial" w:hAnsi="Arial" w:cs="Arial"/>
        </w:rPr>
        <w:t xml:space="preserve">discrimination </w:t>
      </w:r>
      <w:r w:rsidR="0078464C" w:rsidRPr="00277BEC">
        <w:rPr>
          <w:rFonts w:ascii="Arial" w:hAnsi="Arial" w:cs="Arial"/>
        </w:rPr>
        <w:t>compared with</w:t>
      </w:r>
      <w:r w:rsidRPr="00277BEC">
        <w:rPr>
          <w:rFonts w:ascii="Arial" w:hAnsi="Arial" w:cs="Arial"/>
        </w:rPr>
        <w:t xml:space="preserve"> the logistic curves describing the probability of attaining NCEA </w:t>
      </w:r>
      <w:r w:rsidR="006C2934" w:rsidRPr="00277BEC">
        <w:rPr>
          <w:rFonts w:ascii="Arial" w:hAnsi="Arial" w:cs="Arial"/>
        </w:rPr>
        <w:t xml:space="preserve">requirements and </w:t>
      </w:r>
      <w:r w:rsidRPr="00277BEC">
        <w:rPr>
          <w:rFonts w:ascii="Arial" w:hAnsi="Arial" w:cs="Arial"/>
        </w:rPr>
        <w:t xml:space="preserve">qualifications conditioned on performance on the reading scale (Figures </w:t>
      </w:r>
      <w:r w:rsidR="006938E1" w:rsidRPr="00277BEC">
        <w:rPr>
          <w:rFonts w:ascii="Arial" w:hAnsi="Arial" w:cs="Arial"/>
        </w:rPr>
        <w:t>5</w:t>
      </w:r>
      <w:r w:rsidRPr="00277BEC">
        <w:rPr>
          <w:rFonts w:ascii="Arial" w:hAnsi="Arial" w:cs="Arial"/>
        </w:rPr>
        <w:t xml:space="preserve"> and 7). For students at the bottom of </w:t>
      </w:r>
      <w:r w:rsidR="00AC2644">
        <w:rPr>
          <w:rFonts w:ascii="Arial" w:hAnsi="Arial" w:cs="Arial"/>
        </w:rPr>
        <w:t>S</w:t>
      </w:r>
      <w:r w:rsidRPr="00277BEC">
        <w:rPr>
          <w:rFonts w:ascii="Arial" w:hAnsi="Arial" w:cs="Arial"/>
        </w:rPr>
        <w:t xml:space="preserve">tep 2, the probability of being judged </w:t>
      </w:r>
      <w:r w:rsidRPr="00277BEC">
        <w:rPr>
          <w:rFonts w:ascii="Arial" w:hAnsi="Arial" w:cs="Arial"/>
          <w:i/>
        </w:rPr>
        <w:t>at</w:t>
      </w:r>
      <w:r w:rsidRPr="00277BEC">
        <w:rPr>
          <w:rFonts w:ascii="Arial" w:hAnsi="Arial" w:cs="Arial"/>
        </w:rPr>
        <w:t xml:space="preserve"> or </w:t>
      </w:r>
      <w:r w:rsidRPr="00277BEC">
        <w:rPr>
          <w:rFonts w:ascii="Arial" w:hAnsi="Arial" w:cs="Arial"/>
          <w:i/>
        </w:rPr>
        <w:t>above</w:t>
      </w:r>
      <w:r w:rsidRPr="00277BEC">
        <w:rPr>
          <w:rFonts w:ascii="Arial" w:hAnsi="Arial" w:cs="Arial"/>
        </w:rPr>
        <w:t xml:space="preserve"> the standard is about </w:t>
      </w:r>
      <w:proofErr w:type="gramStart"/>
      <w:r w:rsidRPr="00277BEC">
        <w:rPr>
          <w:rFonts w:ascii="Arial" w:hAnsi="Arial" w:cs="Arial"/>
        </w:rPr>
        <w:t>40</w:t>
      </w:r>
      <w:r w:rsidR="00AC2644">
        <w:rPr>
          <w:rFonts w:ascii="Arial" w:hAnsi="Arial" w:cs="Arial"/>
        </w:rPr>
        <w:t xml:space="preserve">  percent</w:t>
      </w:r>
      <w:proofErr w:type="gramEnd"/>
      <w:r w:rsidRPr="00277BEC">
        <w:rPr>
          <w:rFonts w:ascii="Arial" w:hAnsi="Arial" w:cs="Arial"/>
        </w:rPr>
        <w:t xml:space="preserve">, and for those at the bottom of </w:t>
      </w:r>
      <w:r w:rsidR="00AC2644">
        <w:rPr>
          <w:rFonts w:ascii="Arial" w:hAnsi="Arial" w:cs="Arial"/>
        </w:rPr>
        <w:t>S</w:t>
      </w:r>
      <w:r w:rsidRPr="00277BEC">
        <w:rPr>
          <w:rFonts w:ascii="Arial" w:hAnsi="Arial" w:cs="Arial"/>
        </w:rPr>
        <w:t>tep 3, it is about 80</w:t>
      </w:r>
      <w:r w:rsidR="00AC2644">
        <w:rPr>
          <w:rFonts w:ascii="Arial" w:hAnsi="Arial" w:cs="Arial"/>
        </w:rPr>
        <w:t> percent</w:t>
      </w:r>
      <w:r w:rsidR="00AC2644" w:rsidRPr="00277BEC">
        <w:rPr>
          <w:rFonts w:ascii="Arial" w:hAnsi="Arial" w:cs="Arial"/>
        </w:rPr>
        <w:t xml:space="preserve">. </w:t>
      </w:r>
      <w:r w:rsidRPr="00277BEC">
        <w:rPr>
          <w:rFonts w:ascii="Arial" w:hAnsi="Arial" w:cs="Arial"/>
        </w:rPr>
        <w:t xml:space="preserve">For those at the bottom of </w:t>
      </w:r>
      <w:r w:rsidR="00AC2644">
        <w:rPr>
          <w:rFonts w:ascii="Arial" w:hAnsi="Arial" w:cs="Arial"/>
        </w:rPr>
        <w:t>S</w:t>
      </w:r>
      <w:r w:rsidRPr="00277BEC">
        <w:rPr>
          <w:rFonts w:ascii="Arial" w:hAnsi="Arial" w:cs="Arial"/>
        </w:rPr>
        <w:t xml:space="preserve">tep 4, the probability of being judged </w:t>
      </w:r>
      <w:r w:rsidRPr="00277BEC">
        <w:rPr>
          <w:rFonts w:ascii="Arial" w:hAnsi="Arial" w:cs="Arial"/>
          <w:i/>
        </w:rPr>
        <w:t>at</w:t>
      </w:r>
      <w:r w:rsidRPr="00277BEC">
        <w:rPr>
          <w:rFonts w:ascii="Arial" w:hAnsi="Arial" w:cs="Arial"/>
        </w:rPr>
        <w:t xml:space="preserve"> or </w:t>
      </w:r>
      <w:r w:rsidRPr="00277BEC">
        <w:rPr>
          <w:rFonts w:ascii="Arial" w:hAnsi="Arial" w:cs="Arial"/>
          <w:i/>
        </w:rPr>
        <w:t>above</w:t>
      </w:r>
      <w:r w:rsidRPr="00277BEC">
        <w:rPr>
          <w:rFonts w:ascii="Arial" w:hAnsi="Arial" w:cs="Arial"/>
        </w:rPr>
        <w:t xml:space="preserve"> the standard is around 95</w:t>
      </w:r>
      <w:r w:rsidR="00AC2644">
        <w:rPr>
          <w:rFonts w:ascii="Arial" w:hAnsi="Arial" w:cs="Arial"/>
        </w:rPr>
        <w:t> percent</w:t>
      </w:r>
      <w:r w:rsidR="00AC2644" w:rsidRPr="00277BEC">
        <w:rPr>
          <w:rFonts w:ascii="Arial" w:hAnsi="Arial" w:cs="Arial"/>
        </w:rPr>
        <w:t>.</w:t>
      </w:r>
    </w:p>
    <w:p w14:paraId="79C49F8F" w14:textId="2DFC85A6" w:rsidR="002C4864" w:rsidRPr="00277BEC" w:rsidRDefault="00E71291" w:rsidP="002C4864">
      <w:pPr>
        <w:pStyle w:val="BodyText"/>
        <w:spacing w:after="0" w:line="276" w:lineRule="auto"/>
        <w:rPr>
          <w:rFonts w:ascii="Arial" w:hAnsi="Arial" w:cs="Arial"/>
        </w:rPr>
      </w:pPr>
      <w:r w:rsidRPr="00277BEC">
        <w:rPr>
          <w:rFonts w:ascii="Arial" w:hAnsi="Arial" w:cs="Arial"/>
          <w:noProof/>
          <w:lang w:val="en-NZ" w:eastAsia="en-NZ"/>
        </w:rPr>
        <w:drawing>
          <wp:inline distT="0" distB="0" distL="0" distR="0" wp14:anchorId="1DA70DF2" wp14:editId="4F8169EA">
            <wp:extent cx="4392000" cy="2634260"/>
            <wp:effectExtent l="25400" t="25400" r="27940" b="330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new.png"/>
                    <pic:cNvPicPr/>
                  </pic:nvPicPr>
                  <pic:blipFill>
                    <a:blip r:embed="rId27">
                      <a:extLst>
                        <a:ext uri="{28A0092B-C50C-407E-A947-70E740481C1C}">
                          <a14:useLocalDpi xmlns:a14="http://schemas.microsoft.com/office/drawing/2010/main" val="0"/>
                        </a:ext>
                      </a:extLst>
                    </a:blip>
                    <a:stretch>
                      <a:fillRect/>
                    </a:stretch>
                  </pic:blipFill>
                  <pic:spPr>
                    <a:xfrm>
                      <a:off x="0" y="0"/>
                      <a:ext cx="4392000" cy="2634260"/>
                    </a:xfrm>
                    <a:prstGeom prst="rect">
                      <a:avLst/>
                    </a:prstGeom>
                    <a:ln>
                      <a:solidFill>
                        <a:schemeClr val="bg1">
                          <a:lumMod val="50000"/>
                        </a:schemeClr>
                      </a:solidFill>
                    </a:ln>
                  </pic:spPr>
                </pic:pic>
              </a:graphicData>
            </a:graphic>
          </wp:inline>
        </w:drawing>
      </w:r>
    </w:p>
    <w:p w14:paraId="072A350D" w14:textId="77777777" w:rsidR="002C4864" w:rsidRPr="00277BEC" w:rsidRDefault="00A86B72" w:rsidP="00AC2644">
      <w:pPr>
        <w:pStyle w:val="Caption"/>
        <w:jc w:val="left"/>
        <w:rPr>
          <w:rFonts w:cs="Arial"/>
        </w:rPr>
      </w:pPr>
      <w:bookmarkStart w:id="63" w:name="_Toc417920082"/>
      <w:r w:rsidRPr="00277BEC">
        <w:rPr>
          <w:rFonts w:cs="Arial"/>
          <w:b/>
        </w:rPr>
        <w:t xml:space="preserve">Figure </w:t>
      </w:r>
      <w:r w:rsidR="00D71DDD" w:rsidRPr="00277BEC">
        <w:rPr>
          <w:rFonts w:cs="Arial"/>
          <w:b/>
        </w:rPr>
        <w:fldChar w:fldCharType="begin"/>
      </w:r>
      <w:r w:rsidRPr="00277BEC">
        <w:rPr>
          <w:rFonts w:cs="Arial"/>
          <w:b/>
        </w:rPr>
        <w:instrText xml:space="preserve"> SEQ Figure \* ARABIC </w:instrText>
      </w:r>
      <w:r w:rsidR="00D71DDD" w:rsidRPr="00277BEC">
        <w:rPr>
          <w:rFonts w:cs="Arial"/>
          <w:b/>
        </w:rPr>
        <w:fldChar w:fldCharType="separate"/>
      </w:r>
      <w:r w:rsidR="00277BEC" w:rsidRPr="00277BEC">
        <w:rPr>
          <w:rFonts w:cs="Arial"/>
          <w:b/>
          <w:noProof/>
        </w:rPr>
        <w:t>9</w:t>
      </w:r>
      <w:r w:rsidR="00D71DDD" w:rsidRPr="00277BEC">
        <w:rPr>
          <w:rFonts w:cs="Arial"/>
          <w:b/>
        </w:rPr>
        <w:fldChar w:fldCharType="end"/>
      </w:r>
      <w:r w:rsidR="00F67A2A" w:rsidRPr="00277BEC">
        <w:rPr>
          <w:rFonts w:cs="Arial"/>
        </w:rPr>
        <w:t xml:space="preserve">  </w:t>
      </w:r>
      <w:r w:rsidR="006C2934" w:rsidRPr="00277BEC">
        <w:rPr>
          <w:rFonts w:cs="Arial"/>
        </w:rPr>
        <w:t xml:space="preserve">Probability of being rated </w:t>
      </w:r>
      <w:r w:rsidR="006C2934" w:rsidRPr="00277BEC">
        <w:rPr>
          <w:rFonts w:cs="Arial"/>
          <w:i/>
        </w:rPr>
        <w:t>at</w:t>
      </w:r>
      <w:r w:rsidR="006C2934" w:rsidRPr="00277BEC">
        <w:rPr>
          <w:rFonts w:cs="Arial"/>
        </w:rPr>
        <w:t xml:space="preserve"> or </w:t>
      </w:r>
      <w:r w:rsidR="002C4864" w:rsidRPr="00277BEC">
        <w:rPr>
          <w:rFonts w:cs="Arial"/>
          <w:i/>
        </w:rPr>
        <w:t>above</w:t>
      </w:r>
      <w:r w:rsidR="002C4864" w:rsidRPr="00277BEC">
        <w:rPr>
          <w:rFonts w:cs="Arial"/>
        </w:rPr>
        <w:t xml:space="preserve"> the </w:t>
      </w:r>
      <w:r w:rsidR="001C17F8" w:rsidRPr="00277BEC">
        <w:rPr>
          <w:rFonts w:cs="Arial"/>
        </w:rPr>
        <w:t>End of Year 8 Reading Standard</w:t>
      </w:r>
      <w:r w:rsidR="002C4864" w:rsidRPr="00277BEC">
        <w:rPr>
          <w:rFonts w:cs="Arial"/>
        </w:rPr>
        <w:t xml:space="preserve"> conditioned on the reading scale score. Probabilities were estimated using logistic regression. </w:t>
      </w:r>
      <w:proofErr w:type="gramStart"/>
      <w:r w:rsidR="002C4864" w:rsidRPr="00277BEC">
        <w:rPr>
          <w:rFonts w:cs="Arial"/>
        </w:rPr>
        <w:t>School sample.</w:t>
      </w:r>
      <w:bookmarkEnd w:id="63"/>
      <w:proofErr w:type="gramEnd"/>
    </w:p>
    <w:p w14:paraId="7941F030" w14:textId="2492AC55" w:rsidR="00770505" w:rsidRPr="00277BEC" w:rsidRDefault="00770505" w:rsidP="00AC2644">
      <w:pPr>
        <w:pStyle w:val="BodyText"/>
        <w:jc w:val="left"/>
        <w:rPr>
          <w:rFonts w:ascii="Arial" w:hAnsi="Arial" w:cs="Arial"/>
        </w:rPr>
      </w:pPr>
      <w:r w:rsidRPr="00277BEC">
        <w:rPr>
          <w:rFonts w:ascii="Arial" w:hAnsi="Arial" w:cs="Arial"/>
        </w:rPr>
        <w:lastRenderedPageBreak/>
        <w:t>Table 1</w:t>
      </w:r>
      <w:r w:rsidR="009A204E" w:rsidRPr="00277BEC">
        <w:rPr>
          <w:rFonts w:ascii="Arial" w:hAnsi="Arial" w:cs="Arial"/>
        </w:rPr>
        <w:t>4</w:t>
      </w:r>
      <w:r w:rsidRPr="00277BEC">
        <w:rPr>
          <w:rFonts w:ascii="Arial" w:hAnsi="Arial" w:cs="Arial"/>
        </w:rPr>
        <w:t xml:space="preserve"> shows the empirical percentage of </w:t>
      </w:r>
      <w:r w:rsidR="00BA0B34">
        <w:rPr>
          <w:rFonts w:ascii="Arial" w:hAnsi="Arial" w:cs="Arial"/>
        </w:rPr>
        <w:t>Y</w:t>
      </w:r>
      <w:r w:rsidR="000F11C5" w:rsidRPr="00277BEC">
        <w:rPr>
          <w:rFonts w:ascii="Arial" w:hAnsi="Arial" w:cs="Arial"/>
        </w:rPr>
        <w:t>ear</w:t>
      </w:r>
      <w:r w:rsidRPr="00277BEC">
        <w:rPr>
          <w:rFonts w:ascii="Arial" w:hAnsi="Arial" w:cs="Arial"/>
        </w:rPr>
        <w:t xml:space="preserve"> 8 students in the school sample at each step of the reading learning progressions </w:t>
      </w:r>
      <w:proofErr w:type="gramStart"/>
      <w:r w:rsidRPr="00277BEC">
        <w:rPr>
          <w:rFonts w:ascii="Arial" w:hAnsi="Arial" w:cs="Arial"/>
        </w:rPr>
        <w:t>who</w:t>
      </w:r>
      <w:proofErr w:type="gramEnd"/>
      <w:r w:rsidRPr="00277BEC">
        <w:rPr>
          <w:rFonts w:ascii="Arial" w:hAnsi="Arial" w:cs="Arial"/>
        </w:rPr>
        <w:t xml:space="preserve"> were judged as being a</w:t>
      </w:r>
      <w:r w:rsidRPr="00277BEC">
        <w:rPr>
          <w:rFonts w:ascii="Arial" w:hAnsi="Arial" w:cs="Arial"/>
          <w:i/>
        </w:rPr>
        <w:t>t</w:t>
      </w:r>
      <w:r w:rsidRPr="00277BEC">
        <w:rPr>
          <w:rFonts w:ascii="Arial" w:hAnsi="Arial" w:cs="Arial"/>
        </w:rPr>
        <w:t xml:space="preserve"> or </w:t>
      </w:r>
      <w:r w:rsidRPr="00277BEC">
        <w:rPr>
          <w:rFonts w:ascii="Arial" w:hAnsi="Arial" w:cs="Arial"/>
          <w:i/>
        </w:rPr>
        <w:t>above</w:t>
      </w:r>
      <w:r w:rsidRPr="00277BEC">
        <w:rPr>
          <w:rFonts w:ascii="Arial" w:hAnsi="Arial" w:cs="Arial"/>
        </w:rPr>
        <w:t xml:space="preserve"> the </w:t>
      </w:r>
      <w:r w:rsidR="001C17F8" w:rsidRPr="00277BEC">
        <w:rPr>
          <w:rFonts w:ascii="Arial" w:hAnsi="Arial" w:cs="Arial"/>
        </w:rPr>
        <w:t>End of Year 8 Reading S</w:t>
      </w:r>
      <w:r w:rsidRPr="00277BEC">
        <w:rPr>
          <w:rFonts w:ascii="Arial" w:hAnsi="Arial" w:cs="Arial"/>
        </w:rPr>
        <w:t>tandard. Like the corresponding analysis of the numeracy steps (Table 1</w:t>
      </w:r>
      <w:r w:rsidR="009A204E" w:rsidRPr="00277BEC">
        <w:rPr>
          <w:rFonts w:ascii="Arial" w:hAnsi="Arial" w:cs="Arial"/>
        </w:rPr>
        <w:t>3</w:t>
      </w:r>
      <w:r w:rsidRPr="00277BEC">
        <w:rPr>
          <w:rFonts w:ascii="Arial" w:hAnsi="Arial" w:cs="Arial"/>
        </w:rPr>
        <w:t>) these figures are all somewhat higher than the probabilities estimated in relation to Figure 9, because the latter were based on students at the bottom of each step, whereas the former includes students at all scores within each step.</w:t>
      </w:r>
    </w:p>
    <w:p w14:paraId="71A851AD" w14:textId="29E9F1D3" w:rsidR="002C4864" w:rsidRPr="00277BEC" w:rsidRDefault="002C4864" w:rsidP="00AC2644">
      <w:pPr>
        <w:pStyle w:val="Caption"/>
        <w:jc w:val="left"/>
        <w:rPr>
          <w:rFonts w:cs="Arial"/>
        </w:rPr>
      </w:pPr>
      <w:bookmarkStart w:id="64" w:name="_Toc270604931"/>
      <w:r w:rsidRPr="00277BEC">
        <w:rPr>
          <w:rFonts w:cs="Arial"/>
          <w:b/>
        </w:rPr>
        <w:t xml:space="preserve">Table </w:t>
      </w:r>
      <w:r w:rsidR="00D71DDD" w:rsidRPr="00277BEC">
        <w:rPr>
          <w:rFonts w:cs="Arial"/>
          <w:b/>
        </w:rPr>
        <w:fldChar w:fldCharType="begin"/>
      </w:r>
      <w:r w:rsidRPr="00277BEC">
        <w:rPr>
          <w:rFonts w:cs="Arial"/>
          <w:b/>
        </w:rPr>
        <w:instrText xml:space="preserve"> SEQ Table \* ARABIC </w:instrText>
      </w:r>
      <w:r w:rsidR="00D71DDD" w:rsidRPr="00277BEC">
        <w:rPr>
          <w:rFonts w:cs="Arial"/>
          <w:b/>
        </w:rPr>
        <w:fldChar w:fldCharType="separate"/>
      </w:r>
      <w:r w:rsidR="00277BEC" w:rsidRPr="00277BEC">
        <w:rPr>
          <w:rFonts w:cs="Arial"/>
          <w:b/>
          <w:noProof/>
        </w:rPr>
        <w:t>14</w:t>
      </w:r>
      <w:r w:rsidR="00D71DDD" w:rsidRPr="00277BEC">
        <w:rPr>
          <w:rFonts w:cs="Arial"/>
          <w:b/>
        </w:rPr>
        <w:fldChar w:fldCharType="end"/>
      </w:r>
      <w:r w:rsidR="00F67A2A" w:rsidRPr="00277BEC">
        <w:rPr>
          <w:rFonts w:cs="Arial"/>
        </w:rPr>
        <w:t xml:space="preserve"> </w:t>
      </w:r>
      <w:r w:rsidR="006938E1" w:rsidRPr="00277BEC">
        <w:rPr>
          <w:rFonts w:cs="Arial"/>
        </w:rPr>
        <w:t xml:space="preserve">Percentages and numbers of </w:t>
      </w:r>
      <w:r w:rsidR="000F11C5" w:rsidRPr="00277BEC">
        <w:rPr>
          <w:rFonts w:cs="Arial"/>
        </w:rPr>
        <w:t>year</w:t>
      </w:r>
      <w:r w:rsidR="006938E1" w:rsidRPr="00277BEC">
        <w:rPr>
          <w:rFonts w:cs="Arial"/>
        </w:rPr>
        <w:t xml:space="preserve"> 8 students from the school sample </w:t>
      </w:r>
      <w:r w:rsidR="006938E1" w:rsidRPr="00277BEC">
        <w:rPr>
          <w:rFonts w:cs="Arial"/>
          <w:i/>
        </w:rPr>
        <w:t>at</w:t>
      </w:r>
      <w:r w:rsidR="006938E1" w:rsidRPr="00277BEC">
        <w:rPr>
          <w:rFonts w:cs="Arial"/>
        </w:rPr>
        <w:t xml:space="preserve"> or </w:t>
      </w:r>
      <w:r w:rsidR="006938E1" w:rsidRPr="00277BEC">
        <w:rPr>
          <w:rFonts w:cs="Arial"/>
          <w:i/>
        </w:rPr>
        <w:t>above</w:t>
      </w:r>
      <w:r w:rsidR="006938E1" w:rsidRPr="00277BEC">
        <w:rPr>
          <w:rFonts w:cs="Arial"/>
        </w:rPr>
        <w:t xml:space="preserve"> </w:t>
      </w:r>
      <w:r w:rsidR="0007597A" w:rsidRPr="00277BEC">
        <w:rPr>
          <w:rFonts w:cs="Arial"/>
        </w:rPr>
        <w:t xml:space="preserve">the </w:t>
      </w:r>
      <w:r w:rsidR="00EA6C7C" w:rsidRPr="00277BEC">
        <w:rPr>
          <w:rFonts w:cs="Arial"/>
        </w:rPr>
        <w:t>End of Year 8</w:t>
      </w:r>
      <w:r w:rsidR="006938E1" w:rsidRPr="00277BEC">
        <w:rPr>
          <w:rFonts w:cs="Arial"/>
        </w:rPr>
        <w:t xml:space="preserve"> Reading Standard disaggregated by reading step</w:t>
      </w:r>
      <w:r w:rsidR="0007597A" w:rsidRPr="00277BEC">
        <w:rPr>
          <w:rFonts w:cs="Arial"/>
        </w:rPr>
        <w:t>.</w:t>
      </w:r>
      <w:bookmarkEnd w:id="64"/>
      <w:r w:rsidR="006938E1" w:rsidRPr="00277BEC">
        <w:rPr>
          <w:rFonts w:cs="Arial"/>
        </w:rPr>
        <w:t xml:space="preserve"> </w:t>
      </w:r>
    </w:p>
    <w:tbl>
      <w:tblPr>
        <w:tblW w:w="8641" w:type="dxa"/>
        <w:tblCellSpacing w:w="20" w:type="dxa"/>
        <w:tblInd w:w="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11"/>
        <w:gridCol w:w="3971"/>
        <w:gridCol w:w="2459"/>
      </w:tblGrid>
      <w:tr w:rsidR="00F94E4D" w:rsidRPr="00277BEC" w14:paraId="01A0DA4B" w14:textId="77777777" w:rsidTr="00F94E4D">
        <w:trPr>
          <w:trHeight w:val="986"/>
          <w:tblCellSpacing w:w="20" w:type="dxa"/>
        </w:trPr>
        <w:tc>
          <w:tcPr>
            <w:tcW w:w="2143" w:type="dxa"/>
            <w:shd w:val="clear" w:color="auto" w:fill="auto"/>
            <w:vAlign w:val="bottom"/>
            <w:hideMark/>
          </w:tcPr>
          <w:p w14:paraId="61525DF2" w14:textId="77777777" w:rsidR="00F94E4D" w:rsidRPr="00277BEC" w:rsidRDefault="00F94E4D" w:rsidP="008D0F56">
            <w:pPr>
              <w:pStyle w:val="Tabletext"/>
              <w:jc w:val="left"/>
              <w:rPr>
                <w:lang w:eastAsia="en-NZ"/>
              </w:rPr>
            </w:pPr>
            <w:r w:rsidRPr="00277BEC">
              <w:rPr>
                <w:lang w:eastAsia="en-NZ"/>
              </w:rPr>
              <w:t>Reading Step</w:t>
            </w:r>
          </w:p>
        </w:tc>
        <w:tc>
          <w:tcPr>
            <w:tcW w:w="3944" w:type="dxa"/>
            <w:shd w:val="clear" w:color="auto" w:fill="auto"/>
            <w:vAlign w:val="bottom"/>
            <w:hideMark/>
          </w:tcPr>
          <w:p w14:paraId="2FEAEFBF" w14:textId="77777777" w:rsidR="00F94E4D" w:rsidRPr="00277BEC" w:rsidRDefault="00F94E4D" w:rsidP="008D0F56">
            <w:pPr>
              <w:pStyle w:val="Tabletext"/>
              <w:jc w:val="left"/>
              <w:rPr>
                <w:lang w:eastAsia="en-NZ"/>
              </w:rPr>
            </w:pPr>
            <w:r w:rsidRPr="00277BEC">
              <w:rPr>
                <w:lang w:eastAsia="en-NZ"/>
              </w:rPr>
              <w:t xml:space="preserve">Percentage </w:t>
            </w:r>
            <w:r w:rsidRPr="00277BEC">
              <w:rPr>
                <w:i/>
                <w:lang w:eastAsia="en-NZ"/>
              </w:rPr>
              <w:t>at</w:t>
            </w:r>
            <w:r w:rsidRPr="00277BEC">
              <w:rPr>
                <w:lang w:eastAsia="en-NZ"/>
              </w:rPr>
              <w:t xml:space="preserve"> or </w:t>
            </w:r>
            <w:r w:rsidRPr="00277BEC">
              <w:rPr>
                <w:i/>
                <w:lang w:eastAsia="en-NZ"/>
              </w:rPr>
              <w:t>above</w:t>
            </w:r>
            <w:r w:rsidRPr="00277BEC">
              <w:rPr>
                <w:lang w:eastAsia="en-NZ"/>
              </w:rPr>
              <w:t xml:space="preserve"> </w:t>
            </w:r>
            <w:r w:rsidR="006C2934" w:rsidRPr="00277BEC">
              <w:rPr>
                <w:lang w:eastAsia="en-NZ"/>
              </w:rPr>
              <w:t>the End of Year 8 Reading S</w:t>
            </w:r>
            <w:r w:rsidRPr="00277BEC">
              <w:rPr>
                <w:lang w:eastAsia="en-NZ"/>
              </w:rPr>
              <w:t xml:space="preserve">tandard </w:t>
            </w:r>
          </w:p>
        </w:tc>
        <w:tc>
          <w:tcPr>
            <w:tcW w:w="2394" w:type="dxa"/>
            <w:shd w:val="clear" w:color="auto" w:fill="auto"/>
            <w:vAlign w:val="bottom"/>
            <w:hideMark/>
          </w:tcPr>
          <w:p w14:paraId="62FC3C44" w14:textId="77777777" w:rsidR="00F94E4D" w:rsidRPr="00277BEC" w:rsidRDefault="00F94E4D" w:rsidP="008D0F56">
            <w:pPr>
              <w:pStyle w:val="Tabletext"/>
              <w:jc w:val="left"/>
              <w:rPr>
                <w:lang w:eastAsia="en-NZ"/>
              </w:rPr>
            </w:pPr>
            <w:r w:rsidRPr="00277BEC">
              <w:rPr>
                <w:lang w:eastAsia="en-NZ"/>
              </w:rPr>
              <w:t>Number at Step</w:t>
            </w:r>
          </w:p>
        </w:tc>
      </w:tr>
      <w:tr w:rsidR="00F94E4D" w:rsidRPr="00277BEC" w14:paraId="16F8AFC8" w14:textId="77777777" w:rsidTr="00F94E4D">
        <w:trPr>
          <w:trHeight w:val="300"/>
          <w:tblCellSpacing w:w="20" w:type="dxa"/>
        </w:trPr>
        <w:tc>
          <w:tcPr>
            <w:tcW w:w="2143" w:type="dxa"/>
            <w:shd w:val="clear" w:color="auto" w:fill="auto"/>
            <w:noWrap/>
            <w:vAlign w:val="bottom"/>
            <w:hideMark/>
          </w:tcPr>
          <w:p w14:paraId="12E31DB4" w14:textId="77777777" w:rsidR="00F94E4D" w:rsidRPr="00277BEC" w:rsidRDefault="00F94E4D" w:rsidP="00443C31">
            <w:pPr>
              <w:pStyle w:val="Tabletext"/>
              <w:rPr>
                <w:lang w:eastAsia="en-NZ"/>
              </w:rPr>
            </w:pPr>
            <w:r w:rsidRPr="00277BEC">
              <w:t>1</w:t>
            </w:r>
          </w:p>
        </w:tc>
        <w:tc>
          <w:tcPr>
            <w:tcW w:w="3944" w:type="dxa"/>
            <w:shd w:val="clear" w:color="auto" w:fill="auto"/>
            <w:noWrap/>
            <w:vAlign w:val="bottom"/>
            <w:hideMark/>
          </w:tcPr>
          <w:p w14:paraId="2DF74D8C" w14:textId="77777777" w:rsidR="00F94E4D" w:rsidRPr="00277BEC" w:rsidRDefault="00F94E4D" w:rsidP="00443C31">
            <w:pPr>
              <w:pStyle w:val="Tabletext"/>
              <w:rPr>
                <w:lang w:eastAsia="en-NZ"/>
              </w:rPr>
            </w:pPr>
            <w:r w:rsidRPr="00277BEC">
              <w:t>24.6</w:t>
            </w:r>
          </w:p>
        </w:tc>
        <w:tc>
          <w:tcPr>
            <w:tcW w:w="2394" w:type="dxa"/>
            <w:shd w:val="clear" w:color="auto" w:fill="auto"/>
            <w:noWrap/>
            <w:vAlign w:val="bottom"/>
            <w:hideMark/>
          </w:tcPr>
          <w:p w14:paraId="0366B9F5" w14:textId="77777777" w:rsidR="00F94E4D" w:rsidRPr="00277BEC" w:rsidRDefault="00F94E4D" w:rsidP="00443C31">
            <w:pPr>
              <w:pStyle w:val="Tabletext"/>
              <w:rPr>
                <w:lang w:eastAsia="en-NZ"/>
              </w:rPr>
            </w:pPr>
            <w:r w:rsidRPr="00277BEC">
              <w:t>57</w:t>
            </w:r>
          </w:p>
        </w:tc>
      </w:tr>
      <w:tr w:rsidR="00F94E4D" w:rsidRPr="00277BEC" w14:paraId="400169CF" w14:textId="77777777" w:rsidTr="00F94E4D">
        <w:trPr>
          <w:trHeight w:val="300"/>
          <w:tblCellSpacing w:w="20" w:type="dxa"/>
        </w:trPr>
        <w:tc>
          <w:tcPr>
            <w:tcW w:w="2143" w:type="dxa"/>
            <w:shd w:val="clear" w:color="auto" w:fill="auto"/>
            <w:noWrap/>
            <w:vAlign w:val="bottom"/>
            <w:hideMark/>
          </w:tcPr>
          <w:p w14:paraId="5D7C373A" w14:textId="77777777" w:rsidR="00F94E4D" w:rsidRPr="00277BEC" w:rsidRDefault="00F94E4D" w:rsidP="00443C31">
            <w:pPr>
              <w:pStyle w:val="Tabletext"/>
              <w:rPr>
                <w:lang w:eastAsia="en-NZ"/>
              </w:rPr>
            </w:pPr>
            <w:r w:rsidRPr="00277BEC">
              <w:t>2</w:t>
            </w:r>
          </w:p>
        </w:tc>
        <w:tc>
          <w:tcPr>
            <w:tcW w:w="3944" w:type="dxa"/>
            <w:shd w:val="clear" w:color="auto" w:fill="auto"/>
            <w:noWrap/>
            <w:vAlign w:val="bottom"/>
            <w:hideMark/>
          </w:tcPr>
          <w:p w14:paraId="015F8AAC" w14:textId="77777777" w:rsidR="00F94E4D" w:rsidRPr="00277BEC" w:rsidRDefault="00F94E4D" w:rsidP="00443C31">
            <w:pPr>
              <w:pStyle w:val="Tabletext"/>
              <w:rPr>
                <w:lang w:eastAsia="en-NZ"/>
              </w:rPr>
            </w:pPr>
            <w:r w:rsidRPr="00277BEC">
              <w:t>67.9</w:t>
            </w:r>
          </w:p>
        </w:tc>
        <w:tc>
          <w:tcPr>
            <w:tcW w:w="2394" w:type="dxa"/>
            <w:shd w:val="clear" w:color="auto" w:fill="auto"/>
            <w:noWrap/>
            <w:vAlign w:val="bottom"/>
            <w:hideMark/>
          </w:tcPr>
          <w:p w14:paraId="49579524" w14:textId="77777777" w:rsidR="00F94E4D" w:rsidRPr="00277BEC" w:rsidRDefault="00F94E4D" w:rsidP="00443C31">
            <w:pPr>
              <w:pStyle w:val="Tabletext"/>
              <w:rPr>
                <w:lang w:eastAsia="en-NZ"/>
              </w:rPr>
            </w:pPr>
            <w:r w:rsidRPr="00277BEC">
              <w:t>265</w:t>
            </w:r>
          </w:p>
        </w:tc>
      </w:tr>
      <w:tr w:rsidR="00F94E4D" w:rsidRPr="00277BEC" w14:paraId="4D762649" w14:textId="77777777" w:rsidTr="00F94E4D">
        <w:trPr>
          <w:trHeight w:val="300"/>
          <w:tblCellSpacing w:w="20" w:type="dxa"/>
        </w:trPr>
        <w:tc>
          <w:tcPr>
            <w:tcW w:w="2143" w:type="dxa"/>
            <w:shd w:val="clear" w:color="auto" w:fill="auto"/>
            <w:noWrap/>
            <w:vAlign w:val="bottom"/>
            <w:hideMark/>
          </w:tcPr>
          <w:p w14:paraId="11450670" w14:textId="77777777" w:rsidR="00F94E4D" w:rsidRPr="00277BEC" w:rsidRDefault="00F94E4D" w:rsidP="00443C31">
            <w:pPr>
              <w:pStyle w:val="Tabletext"/>
              <w:rPr>
                <w:lang w:eastAsia="en-NZ"/>
              </w:rPr>
            </w:pPr>
            <w:r w:rsidRPr="00277BEC">
              <w:t>3</w:t>
            </w:r>
          </w:p>
        </w:tc>
        <w:tc>
          <w:tcPr>
            <w:tcW w:w="3944" w:type="dxa"/>
            <w:shd w:val="clear" w:color="auto" w:fill="auto"/>
            <w:noWrap/>
            <w:vAlign w:val="bottom"/>
            <w:hideMark/>
          </w:tcPr>
          <w:p w14:paraId="2014C12B" w14:textId="77777777" w:rsidR="00F94E4D" w:rsidRPr="00277BEC" w:rsidRDefault="00F94E4D" w:rsidP="00443C31">
            <w:pPr>
              <w:pStyle w:val="Tabletext"/>
              <w:rPr>
                <w:lang w:eastAsia="en-NZ"/>
              </w:rPr>
            </w:pPr>
            <w:r w:rsidRPr="00277BEC">
              <w:t>93.8</w:t>
            </w:r>
          </w:p>
        </w:tc>
        <w:tc>
          <w:tcPr>
            <w:tcW w:w="2394" w:type="dxa"/>
            <w:shd w:val="clear" w:color="auto" w:fill="auto"/>
            <w:noWrap/>
            <w:vAlign w:val="bottom"/>
            <w:hideMark/>
          </w:tcPr>
          <w:p w14:paraId="5743573A" w14:textId="77777777" w:rsidR="00F94E4D" w:rsidRPr="00277BEC" w:rsidRDefault="00F94E4D" w:rsidP="00443C31">
            <w:pPr>
              <w:pStyle w:val="Tabletext"/>
              <w:rPr>
                <w:lang w:eastAsia="en-NZ"/>
              </w:rPr>
            </w:pPr>
            <w:r w:rsidRPr="00277BEC">
              <w:t>448</w:t>
            </w:r>
          </w:p>
        </w:tc>
      </w:tr>
      <w:tr w:rsidR="00F94E4D" w:rsidRPr="00277BEC" w14:paraId="11CE35C5" w14:textId="77777777" w:rsidTr="00F94E4D">
        <w:trPr>
          <w:trHeight w:val="300"/>
          <w:tblCellSpacing w:w="20" w:type="dxa"/>
        </w:trPr>
        <w:tc>
          <w:tcPr>
            <w:tcW w:w="2143" w:type="dxa"/>
            <w:shd w:val="clear" w:color="auto" w:fill="auto"/>
            <w:noWrap/>
            <w:vAlign w:val="bottom"/>
            <w:hideMark/>
          </w:tcPr>
          <w:p w14:paraId="48A78CAB" w14:textId="77777777" w:rsidR="00F94E4D" w:rsidRPr="00277BEC" w:rsidRDefault="00F94E4D" w:rsidP="00443C31">
            <w:pPr>
              <w:pStyle w:val="Tabletext"/>
              <w:rPr>
                <w:lang w:eastAsia="en-NZ"/>
              </w:rPr>
            </w:pPr>
            <w:r w:rsidRPr="00277BEC">
              <w:t>4</w:t>
            </w:r>
          </w:p>
        </w:tc>
        <w:tc>
          <w:tcPr>
            <w:tcW w:w="3944" w:type="dxa"/>
            <w:shd w:val="clear" w:color="auto" w:fill="auto"/>
            <w:noWrap/>
            <w:vAlign w:val="bottom"/>
            <w:hideMark/>
          </w:tcPr>
          <w:p w14:paraId="5ECC6744" w14:textId="77777777" w:rsidR="00F94E4D" w:rsidRPr="00277BEC" w:rsidRDefault="00F94E4D" w:rsidP="00443C31">
            <w:pPr>
              <w:pStyle w:val="Tabletext"/>
              <w:rPr>
                <w:lang w:eastAsia="en-NZ"/>
              </w:rPr>
            </w:pPr>
            <w:r w:rsidRPr="00277BEC">
              <w:t>100</w:t>
            </w:r>
          </w:p>
        </w:tc>
        <w:tc>
          <w:tcPr>
            <w:tcW w:w="2394" w:type="dxa"/>
            <w:shd w:val="clear" w:color="auto" w:fill="auto"/>
            <w:noWrap/>
            <w:vAlign w:val="bottom"/>
            <w:hideMark/>
          </w:tcPr>
          <w:p w14:paraId="62A2922A" w14:textId="77777777" w:rsidR="00F94E4D" w:rsidRPr="00277BEC" w:rsidRDefault="00F94E4D" w:rsidP="00443C31">
            <w:pPr>
              <w:pStyle w:val="Tabletext"/>
              <w:rPr>
                <w:lang w:eastAsia="en-NZ"/>
              </w:rPr>
            </w:pPr>
            <w:r w:rsidRPr="00277BEC">
              <w:t>215</w:t>
            </w:r>
          </w:p>
        </w:tc>
      </w:tr>
      <w:tr w:rsidR="00F94E4D" w:rsidRPr="00277BEC" w14:paraId="3426B0F3" w14:textId="77777777" w:rsidTr="00F94E4D">
        <w:trPr>
          <w:trHeight w:val="300"/>
          <w:tblCellSpacing w:w="20" w:type="dxa"/>
        </w:trPr>
        <w:tc>
          <w:tcPr>
            <w:tcW w:w="2143" w:type="dxa"/>
            <w:shd w:val="clear" w:color="auto" w:fill="auto"/>
            <w:noWrap/>
            <w:vAlign w:val="bottom"/>
            <w:hideMark/>
          </w:tcPr>
          <w:p w14:paraId="2EF1783F" w14:textId="77777777" w:rsidR="00F94E4D" w:rsidRPr="00277BEC" w:rsidRDefault="00F94E4D" w:rsidP="00443C31">
            <w:pPr>
              <w:pStyle w:val="Tabletext"/>
              <w:rPr>
                <w:lang w:eastAsia="en-NZ"/>
              </w:rPr>
            </w:pPr>
            <w:r w:rsidRPr="00277BEC">
              <w:t>5</w:t>
            </w:r>
          </w:p>
        </w:tc>
        <w:tc>
          <w:tcPr>
            <w:tcW w:w="3944" w:type="dxa"/>
            <w:shd w:val="clear" w:color="auto" w:fill="auto"/>
            <w:noWrap/>
            <w:vAlign w:val="bottom"/>
            <w:hideMark/>
          </w:tcPr>
          <w:p w14:paraId="009ECCC7" w14:textId="77777777" w:rsidR="00F94E4D" w:rsidRPr="00277BEC" w:rsidRDefault="00F94E4D" w:rsidP="00443C31">
            <w:pPr>
              <w:pStyle w:val="Tabletext"/>
              <w:rPr>
                <w:lang w:eastAsia="en-NZ"/>
              </w:rPr>
            </w:pPr>
            <w:r w:rsidRPr="00277BEC">
              <w:t>100</w:t>
            </w:r>
          </w:p>
        </w:tc>
        <w:tc>
          <w:tcPr>
            <w:tcW w:w="2394" w:type="dxa"/>
            <w:shd w:val="clear" w:color="auto" w:fill="auto"/>
            <w:noWrap/>
            <w:vAlign w:val="bottom"/>
            <w:hideMark/>
          </w:tcPr>
          <w:p w14:paraId="67229122" w14:textId="77777777" w:rsidR="00F94E4D" w:rsidRPr="00277BEC" w:rsidRDefault="00F94E4D" w:rsidP="00443C31">
            <w:pPr>
              <w:pStyle w:val="Tabletext"/>
              <w:rPr>
                <w:lang w:eastAsia="en-NZ"/>
              </w:rPr>
            </w:pPr>
            <w:r w:rsidRPr="00277BEC">
              <w:t>44</w:t>
            </w:r>
          </w:p>
        </w:tc>
      </w:tr>
      <w:tr w:rsidR="00F94E4D" w:rsidRPr="00277BEC" w14:paraId="700C4E2D" w14:textId="77777777" w:rsidTr="00F94E4D">
        <w:trPr>
          <w:trHeight w:val="300"/>
          <w:tblCellSpacing w:w="20" w:type="dxa"/>
        </w:trPr>
        <w:tc>
          <w:tcPr>
            <w:tcW w:w="2143" w:type="dxa"/>
            <w:shd w:val="clear" w:color="auto" w:fill="auto"/>
            <w:noWrap/>
            <w:vAlign w:val="bottom"/>
            <w:hideMark/>
          </w:tcPr>
          <w:p w14:paraId="4B5F3949" w14:textId="77777777" w:rsidR="00F94E4D" w:rsidRPr="00277BEC" w:rsidRDefault="00F94E4D" w:rsidP="00443C31">
            <w:pPr>
              <w:pStyle w:val="Tabletext"/>
              <w:rPr>
                <w:lang w:eastAsia="en-NZ"/>
              </w:rPr>
            </w:pPr>
            <w:r w:rsidRPr="00277BEC">
              <w:t>6</w:t>
            </w:r>
          </w:p>
        </w:tc>
        <w:tc>
          <w:tcPr>
            <w:tcW w:w="3944" w:type="dxa"/>
            <w:shd w:val="clear" w:color="auto" w:fill="auto"/>
            <w:noWrap/>
            <w:vAlign w:val="bottom"/>
            <w:hideMark/>
          </w:tcPr>
          <w:p w14:paraId="1F258BA6" w14:textId="77777777" w:rsidR="00F94E4D" w:rsidRPr="00277BEC" w:rsidRDefault="00F94E4D" w:rsidP="00443C31">
            <w:pPr>
              <w:pStyle w:val="Tabletext"/>
              <w:rPr>
                <w:lang w:eastAsia="en-NZ"/>
              </w:rPr>
            </w:pPr>
            <w:r w:rsidRPr="00277BEC">
              <w:t>100</w:t>
            </w:r>
          </w:p>
        </w:tc>
        <w:tc>
          <w:tcPr>
            <w:tcW w:w="2394" w:type="dxa"/>
            <w:shd w:val="clear" w:color="auto" w:fill="auto"/>
            <w:noWrap/>
            <w:vAlign w:val="bottom"/>
            <w:hideMark/>
          </w:tcPr>
          <w:p w14:paraId="7E6B28E1" w14:textId="77777777" w:rsidR="00F94E4D" w:rsidRPr="00277BEC" w:rsidRDefault="00F94E4D" w:rsidP="00443C31">
            <w:pPr>
              <w:pStyle w:val="Tabletext"/>
              <w:rPr>
                <w:lang w:eastAsia="en-NZ"/>
              </w:rPr>
            </w:pPr>
            <w:r w:rsidRPr="00277BEC">
              <w:t>9</w:t>
            </w:r>
          </w:p>
        </w:tc>
      </w:tr>
    </w:tbl>
    <w:p w14:paraId="231FF9BA" w14:textId="5A81C459" w:rsidR="004F748E" w:rsidRPr="00277BEC" w:rsidRDefault="00B36931" w:rsidP="00BA0B34">
      <w:pPr>
        <w:pStyle w:val="BodyText"/>
        <w:spacing w:before="120"/>
        <w:jc w:val="left"/>
        <w:rPr>
          <w:rFonts w:ascii="Arial" w:hAnsi="Arial" w:cs="Arial"/>
        </w:rPr>
      </w:pPr>
      <w:r w:rsidRPr="00277BEC">
        <w:rPr>
          <w:rFonts w:ascii="Arial" w:hAnsi="Arial" w:cs="Arial"/>
        </w:rPr>
        <w:t xml:space="preserve">It is informative to consider the proportions of </w:t>
      </w:r>
      <w:r w:rsidR="00BA0B34">
        <w:rPr>
          <w:rFonts w:ascii="Arial" w:hAnsi="Arial" w:cs="Arial"/>
        </w:rPr>
        <w:t>Y</w:t>
      </w:r>
      <w:r w:rsidR="000F11C5" w:rsidRPr="00277BEC">
        <w:rPr>
          <w:rFonts w:ascii="Arial" w:hAnsi="Arial" w:cs="Arial"/>
        </w:rPr>
        <w:t>ear</w:t>
      </w:r>
      <w:r w:rsidRPr="00277BEC">
        <w:rPr>
          <w:rFonts w:ascii="Arial" w:hAnsi="Arial" w:cs="Arial"/>
        </w:rPr>
        <w:t xml:space="preserve"> 8 students that achieve</w:t>
      </w:r>
      <w:r w:rsidR="008B33C2" w:rsidRPr="00277BEC">
        <w:rPr>
          <w:rFonts w:ascii="Arial" w:hAnsi="Arial" w:cs="Arial"/>
        </w:rPr>
        <w:t>d</w:t>
      </w:r>
      <w:r w:rsidRPr="00277BEC">
        <w:rPr>
          <w:rFonts w:ascii="Arial" w:hAnsi="Arial" w:cs="Arial"/>
        </w:rPr>
        <w:t xml:space="preserve"> at least numeracy </w:t>
      </w:r>
      <w:r w:rsidR="00BA0B34">
        <w:rPr>
          <w:rFonts w:ascii="Arial" w:hAnsi="Arial" w:cs="Arial"/>
        </w:rPr>
        <w:t>S</w:t>
      </w:r>
      <w:r w:rsidRPr="00277BEC">
        <w:rPr>
          <w:rFonts w:ascii="Arial" w:hAnsi="Arial" w:cs="Arial"/>
        </w:rPr>
        <w:t xml:space="preserve">tep 5, which we take to </w:t>
      </w:r>
      <w:r w:rsidR="0009520B" w:rsidRPr="00277BEC">
        <w:rPr>
          <w:rFonts w:ascii="Arial" w:hAnsi="Arial" w:cs="Arial"/>
        </w:rPr>
        <w:t>be well</w:t>
      </w:r>
      <w:r w:rsidR="0057762D" w:rsidRPr="00277BEC">
        <w:rPr>
          <w:rFonts w:ascii="Arial" w:hAnsi="Arial" w:cs="Arial"/>
        </w:rPr>
        <w:t xml:space="preserve"> </w:t>
      </w:r>
      <w:r w:rsidR="0009520B" w:rsidRPr="00277BEC">
        <w:rPr>
          <w:rFonts w:ascii="Arial" w:hAnsi="Arial" w:cs="Arial"/>
        </w:rPr>
        <w:t xml:space="preserve">aligned to ALL </w:t>
      </w:r>
      <w:r w:rsidR="008234DB" w:rsidRPr="00277BEC">
        <w:rPr>
          <w:rFonts w:ascii="Arial" w:hAnsi="Arial" w:cs="Arial"/>
        </w:rPr>
        <w:t>Level</w:t>
      </w:r>
      <w:r w:rsidR="0009520B" w:rsidRPr="00277BEC">
        <w:rPr>
          <w:rFonts w:ascii="Arial" w:hAnsi="Arial" w:cs="Arial"/>
        </w:rPr>
        <w:t xml:space="preserve"> 3. </w:t>
      </w:r>
      <w:r w:rsidR="008B33C2" w:rsidRPr="00277BEC">
        <w:rPr>
          <w:rFonts w:ascii="Arial" w:hAnsi="Arial" w:cs="Arial"/>
        </w:rPr>
        <w:t>Sevent</w:t>
      </w:r>
      <w:r w:rsidR="0009520B" w:rsidRPr="00277BEC">
        <w:rPr>
          <w:rFonts w:ascii="Arial" w:hAnsi="Arial" w:cs="Arial"/>
        </w:rPr>
        <w:t>y</w:t>
      </w:r>
      <w:r w:rsidR="008B33C2" w:rsidRPr="00277BEC">
        <w:rPr>
          <w:rFonts w:ascii="Arial" w:hAnsi="Arial" w:cs="Arial"/>
        </w:rPr>
        <w:t>-four</w:t>
      </w:r>
      <w:r w:rsidRPr="00277BEC">
        <w:rPr>
          <w:rFonts w:ascii="Arial" w:hAnsi="Arial" w:cs="Arial"/>
        </w:rPr>
        <w:t xml:space="preserve"> percent of students that were rated </w:t>
      </w:r>
      <w:r w:rsidR="008B33C2" w:rsidRPr="00277BEC">
        <w:rPr>
          <w:rFonts w:ascii="Arial" w:hAnsi="Arial" w:cs="Arial"/>
          <w:i/>
        </w:rPr>
        <w:t>above</w:t>
      </w:r>
      <w:r w:rsidRPr="00277BEC">
        <w:rPr>
          <w:rFonts w:ascii="Arial" w:hAnsi="Arial" w:cs="Arial"/>
        </w:rPr>
        <w:t xml:space="preserve"> the </w:t>
      </w:r>
      <w:r w:rsidR="00EA6C7C" w:rsidRPr="00277BEC">
        <w:rPr>
          <w:rFonts w:ascii="Arial" w:hAnsi="Arial" w:cs="Arial"/>
        </w:rPr>
        <w:t>End of Year 8</w:t>
      </w:r>
      <w:r w:rsidRPr="00277BEC">
        <w:rPr>
          <w:rFonts w:ascii="Arial" w:hAnsi="Arial" w:cs="Arial"/>
        </w:rPr>
        <w:t xml:space="preserve"> </w:t>
      </w:r>
      <w:r w:rsidR="008B33C2" w:rsidRPr="00277BEC">
        <w:rPr>
          <w:rFonts w:ascii="Arial" w:hAnsi="Arial" w:cs="Arial"/>
        </w:rPr>
        <w:t>Mathematics S</w:t>
      </w:r>
      <w:r w:rsidRPr="00277BEC">
        <w:rPr>
          <w:rFonts w:ascii="Arial" w:hAnsi="Arial" w:cs="Arial"/>
        </w:rPr>
        <w:t xml:space="preserve">tandard were at </w:t>
      </w:r>
      <w:r w:rsidR="008B33C2" w:rsidRPr="00277BEC">
        <w:rPr>
          <w:rFonts w:ascii="Arial" w:hAnsi="Arial" w:cs="Arial"/>
        </w:rPr>
        <w:t xml:space="preserve">numeracy </w:t>
      </w:r>
      <w:r w:rsidR="00BA0B34">
        <w:rPr>
          <w:rFonts w:ascii="Arial" w:hAnsi="Arial" w:cs="Arial"/>
        </w:rPr>
        <w:t>S</w:t>
      </w:r>
      <w:r w:rsidR="008B33C2" w:rsidRPr="00277BEC">
        <w:rPr>
          <w:rFonts w:ascii="Arial" w:hAnsi="Arial" w:cs="Arial"/>
        </w:rPr>
        <w:t>teps 5 or 6</w:t>
      </w:r>
      <w:r w:rsidRPr="00277BEC">
        <w:rPr>
          <w:rFonts w:ascii="Arial" w:hAnsi="Arial" w:cs="Arial"/>
        </w:rPr>
        <w:t xml:space="preserve">, while </w:t>
      </w:r>
      <w:r w:rsidR="006C2934" w:rsidRPr="00277BEC">
        <w:rPr>
          <w:rFonts w:ascii="Arial" w:hAnsi="Arial" w:cs="Arial"/>
        </w:rPr>
        <w:t>23.3</w:t>
      </w:r>
      <w:r w:rsidR="00BA0B34">
        <w:rPr>
          <w:rFonts w:ascii="Arial" w:hAnsi="Arial" w:cs="Arial"/>
        </w:rPr>
        <w:t xml:space="preserve"> percent</w:t>
      </w:r>
      <w:r w:rsidR="008B33C2" w:rsidRPr="00277BEC">
        <w:rPr>
          <w:rFonts w:ascii="Arial" w:hAnsi="Arial" w:cs="Arial"/>
        </w:rPr>
        <w:t xml:space="preserve"> of students rated </w:t>
      </w:r>
      <w:r w:rsidR="008B33C2" w:rsidRPr="00277BEC">
        <w:rPr>
          <w:rFonts w:ascii="Arial" w:hAnsi="Arial" w:cs="Arial"/>
          <w:i/>
        </w:rPr>
        <w:t>at</w:t>
      </w:r>
      <w:r w:rsidR="008B33C2" w:rsidRPr="00277BEC">
        <w:rPr>
          <w:rFonts w:ascii="Arial" w:hAnsi="Arial" w:cs="Arial"/>
        </w:rPr>
        <w:t xml:space="preserve"> the standard were at these steps (Table 1</w:t>
      </w:r>
      <w:r w:rsidR="009A204E" w:rsidRPr="00277BEC">
        <w:rPr>
          <w:rFonts w:ascii="Arial" w:hAnsi="Arial" w:cs="Arial"/>
        </w:rPr>
        <w:t>1</w:t>
      </w:r>
      <w:r w:rsidR="008B33C2" w:rsidRPr="00277BEC">
        <w:rPr>
          <w:rFonts w:ascii="Arial" w:hAnsi="Arial" w:cs="Arial"/>
        </w:rPr>
        <w:t xml:space="preserve">). Almost no students rated </w:t>
      </w:r>
      <w:r w:rsidR="008B33C2" w:rsidRPr="00277BEC">
        <w:rPr>
          <w:rFonts w:ascii="Arial" w:hAnsi="Arial" w:cs="Arial"/>
          <w:i/>
        </w:rPr>
        <w:t>below</w:t>
      </w:r>
      <w:r w:rsidR="008B33C2" w:rsidRPr="00277BEC">
        <w:rPr>
          <w:rFonts w:ascii="Arial" w:hAnsi="Arial" w:cs="Arial"/>
        </w:rPr>
        <w:t xml:space="preserve"> or </w:t>
      </w:r>
      <w:r w:rsidR="008B33C2" w:rsidRPr="00277BEC">
        <w:rPr>
          <w:rFonts w:ascii="Arial" w:hAnsi="Arial" w:cs="Arial"/>
          <w:i/>
        </w:rPr>
        <w:t>well below</w:t>
      </w:r>
      <w:r w:rsidR="008B33C2" w:rsidRPr="00277BEC">
        <w:rPr>
          <w:rFonts w:ascii="Arial" w:hAnsi="Arial" w:cs="Arial"/>
        </w:rPr>
        <w:t xml:space="preserve"> the standard achieved numeracy </w:t>
      </w:r>
      <w:r w:rsidR="00BA0B34">
        <w:rPr>
          <w:rFonts w:ascii="Arial" w:hAnsi="Arial" w:cs="Arial"/>
        </w:rPr>
        <w:t>S</w:t>
      </w:r>
      <w:r w:rsidR="008B33C2" w:rsidRPr="00277BEC">
        <w:rPr>
          <w:rFonts w:ascii="Arial" w:hAnsi="Arial" w:cs="Arial"/>
        </w:rPr>
        <w:t>tep 5.</w:t>
      </w:r>
    </w:p>
    <w:p w14:paraId="1CBC2545" w14:textId="33D7F7FB" w:rsidR="008B33C2" w:rsidRPr="00277BEC" w:rsidRDefault="008B33C2" w:rsidP="00BA0B34">
      <w:pPr>
        <w:pStyle w:val="BodyText"/>
        <w:jc w:val="left"/>
        <w:rPr>
          <w:rFonts w:ascii="Arial" w:hAnsi="Arial" w:cs="Arial"/>
        </w:rPr>
      </w:pPr>
      <w:r w:rsidRPr="00277BEC">
        <w:rPr>
          <w:rFonts w:ascii="Arial" w:hAnsi="Arial" w:cs="Arial"/>
        </w:rPr>
        <w:t xml:space="preserve">Smaller proportions of </w:t>
      </w:r>
      <w:r w:rsidR="00BA0B34">
        <w:rPr>
          <w:rFonts w:ascii="Arial" w:hAnsi="Arial" w:cs="Arial"/>
        </w:rPr>
        <w:t>Y</w:t>
      </w:r>
      <w:r w:rsidR="000F11C5" w:rsidRPr="00277BEC">
        <w:rPr>
          <w:rFonts w:ascii="Arial" w:hAnsi="Arial" w:cs="Arial"/>
        </w:rPr>
        <w:t>ear</w:t>
      </w:r>
      <w:r w:rsidRPr="00277BEC">
        <w:rPr>
          <w:rFonts w:ascii="Arial" w:hAnsi="Arial" w:cs="Arial"/>
        </w:rPr>
        <w:t xml:space="preserve"> 8 students achieved at least reading </w:t>
      </w:r>
      <w:r w:rsidR="00BA0B34">
        <w:rPr>
          <w:rFonts w:ascii="Arial" w:hAnsi="Arial" w:cs="Arial"/>
        </w:rPr>
        <w:t>S</w:t>
      </w:r>
      <w:r w:rsidRPr="00277BEC">
        <w:rPr>
          <w:rFonts w:ascii="Arial" w:hAnsi="Arial" w:cs="Arial"/>
        </w:rPr>
        <w:t>tep 4. Fifty</w:t>
      </w:r>
      <w:r w:rsidR="006C2934" w:rsidRPr="00277BEC">
        <w:rPr>
          <w:rFonts w:ascii="Arial" w:hAnsi="Arial" w:cs="Arial"/>
        </w:rPr>
        <w:t>-</w:t>
      </w:r>
      <w:r w:rsidR="009A204E" w:rsidRPr="00277BEC">
        <w:rPr>
          <w:rFonts w:ascii="Arial" w:hAnsi="Arial" w:cs="Arial"/>
        </w:rPr>
        <w:t xml:space="preserve">two </w:t>
      </w:r>
      <w:r w:rsidRPr="00277BEC">
        <w:rPr>
          <w:rFonts w:ascii="Arial" w:hAnsi="Arial" w:cs="Arial"/>
        </w:rPr>
        <w:t xml:space="preserve">percent of students rated </w:t>
      </w:r>
      <w:r w:rsidRPr="00277BEC">
        <w:rPr>
          <w:rFonts w:ascii="Arial" w:hAnsi="Arial" w:cs="Arial"/>
          <w:i/>
        </w:rPr>
        <w:t>above</w:t>
      </w:r>
      <w:r w:rsidRPr="00277BEC">
        <w:rPr>
          <w:rFonts w:ascii="Arial" w:hAnsi="Arial" w:cs="Arial"/>
        </w:rPr>
        <w:t xml:space="preserve"> the </w:t>
      </w:r>
      <w:r w:rsidR="00EA6C7C" w:rsidRPr="00277BEC">
        <w:rPr>
          <w:rFonts w:ascii="Arial" w:hAnsi="Arial" w:cs="Arial"/>
        </w:rPr>
        <w:t>End of Year 8</w:t>
      </w:r>
      <w:r w:rsidR="001C17F8" w:rsidRPr="00277BEC">
        <w:rPr>
          <w:rFonts w:ascii="Arial" w:hAnsi="Arial" w:cs="Arial"/>
        </w:rPr>
        <w:t xml:space="preserve"> R</w:t>
      </w:r>
      <w:r w:rsidRPr="00277BEC">
        <w:rPr>
          <w:rFonts w:ascii="Arial" w:hAnsi="Arial" w:cs="Arial"/>
        </w:rPr>
        <w:t xml:space="preserve">eading Standard were at reading </w:t>
      </w:r>
      <w:r w:rsidR="00BA0B34">
        <w:rPr>
          <w:rFonts w:ascii="Arial" w:hAnsi="Arial" w:cs="Arial"/>
        </w:rPr>
        <w:t>S</w:t>
      </w:r>
      <w:r w:rsidRPr="00277BEC">
        <w:rPr>
          <w:rFonts w:ascii="Arial" w:hAnsi="Arial" w:cs="Arial"/>
        </w:rPr>
        <w:t>teps 4 to</w:t>
      </w:r>
      <w:r w:rsidR="005E4D58" w:rsidRPr="00277BEC">
        <w:rPr>
          <w:rFonts w:ascii="Arial" w:hAnsi="Arial" w:cs="Arial"/>
        </w:rPr>
        <w:t xml:space="preserve"> 6, while 12</w:t>
      </w:r>
      <w:r w:rsidR="006C2934" w:rsidRPr="00277BEC">
        <w:rPr>
          <w:rFonts w:ascii="Arial" w:hAnsi="Arial" w:cs="Arial"/>
        </w:rPr>
        <w:t>.3</w:t>
      </w:r>
      <w:r w:rsidR="00BA0B34">
        <w:rPr>
          <w:rFonts w:ascii="Arial" w:hAnsi="Arial" w:cs="Arial"/>
        </w:rPr>
        <w:t xml:space="preserve"> percent</w:t>
      </w:r>
      <w:r w:rsidR="005E4D58" w:rsidRPr="00277BEC">
        <w:rPr>
          <w:rFonts w:ascii="Arial" w:hAnsi="Arial" w:cs="Arial"/>
        </w:rPr>
        <w:t xml:space="preserve"> of students rated </w:t>
      </w:r>
      <w:r w:rsidR="005E4D58" w:rsidRPr="00277BEC">
        <w:rPr>
          <w:rFonts w:ascii="Arial" w:hAnsi="Arial" w:cs="Arial"/>
          <w:i/>
        </w:rPr>
        <w:t>at</w:t>
      </w:r>
      <w:r w:rsidR="005E4D58" w:rsidRPr="00277BEC">
        <w:rPr>
          <w:rFonts w:ascii="Arial" w:hAnsi="Arial" w:cs="Arial"/>
        </w:rPr>
        <w:t xml:space="preserve"> the standard were at these steps</w:t>
      </w:r>
      <w:r w:rsidR="0009520B" w:rsidRPr="00277BEC">
        <w:rPr>
          <w:rFonts w:ascii="Arial" w:hAnsi="Arial" w:cs="Arial"/>
        </w:rPr>
        <w:t xml:space="preserve"> (Table 1</w:t>
      </w:r>
      <w:r w:rsidR="009A204E" w:rsidRPr="00277BEC">
        <w:rPr>
          <w:rFonts w:ascii="Arial" w:hAnsi="Arial" w:cs="Arial"/>
        </w:rPr>
        <w:t>2</w:t>
      </w:r>
      <w:r w:rsidR="0009520B" w:rsidRPr="00277BEC">
        <w:rPr>
          <w:rFonts w:ascii="Arial" w:hAnsi="Arial" w:cs="Arial"/>
        </w:rPr>
        <w:t>)</w:t>
      </w:r>
      <w:r w:rsidR="005E4D58" w:rsidRPr="00277BEC">
        <w:rPr>
          <w:rFonts w:ascii="Arial" w:hAnsi="Arial" w:cs="Arial"/>
        </w:rPr>
        <w:t xml:space="preserve">. No students rated </w:t>
      </w:r>
      <w:r w:rsidR="005E4D58" w:rsidRPr="00277BEC">
        <w:rPr>
          <w:rFonts w:ascii="Arial" w:hAnsi="Arial" w:cs="Arial"/>
          <w:i/>
        </w:rPr>
        <w:t>below</w:t>
      </w:r>
      <w:r w:rsidR="005E4D58" w:rsidRPr="00277BEC">
        <w:rPr>
          <w:rFonts w:ascii="Arial" w:hAnsi="Arial" w:cs="Arial"/>
        </w:rPr>
        <w:t xml:space="preserve"> or </w:t>
      </w:r>
      <w:r w:rsidR="005E4D58" w:rsidRPr="00277BEC">
        <w:rPr>
          <w:rFonts w:ascii="Arial" w:hAnsi="Arial" w:cs="Arial"/>
          <w:i/>
        </w:rPr>
        <w:t>well below</w:t>
      </w:r>
      <w:r w:rsidR="005E4D58" w:rsidRPr="00277BEC">
        <w:rPr>
          <w:rFonts w:ascii="Arial" w:hAnsi="Arial" w:cs="Arial"/>
        </w:rPr>
        <w:t xml:space="preserve"> the standard were above reading </w:t>
      </w:r>
      <w:r w:rsidR="00BA0B34">
        <w:rPr>
          <w:rFonts w:ascii="Arial" w:hAnsi="Arial" w:cs="Arial"/>
        </w:rPr>
        <w:t>S</w:t>
      </w:r>
      <w:r w:rsidR="005E4D58" w:rsidRPr="00277BEC">
        <w:rPr>
          <w:rFonts w:ascii="Arial" w:hAnsi="Arial" w:cs="Arial"/>
        </w:rPr>
        <w:t>tep 3.</w:t>
      </w:r>
    </w:p>
    <w:p w14:paraId="78EE9397" w14:textId="77777777" w:rsidR="002C4864" w:rsidRPr="00277BEC" w:rsidRDefault="002C4864">
      <w:pPr>
        <w:spacing w:after="0" w:line="240" w:lineRule="auto"/>
        <w:rPr>
          <w:rFonts w:ascii="Arial" w:hAnsi="Arial" w:cs="Arial"/>
        </w:rPr>
      </w:pPr>
      <w:r w:rsidRPr="00277BEC">
        <w:rPr>
          <w:rFonts w:ascii="Arial" w:hAnsi="Arial" w:cs="Arial"/>
        </w:rPr>
        <w:br w:type="page"/>
      </w:r>
    </w:p>
    <w:p w14:paraId="73A10BA7" w14:textId="4D6F58F5" w:rsidR="00BB1492" w:rsidRPr="00585F6C" w:rsidRDefault="00A50FC8" w:rsidP="001B44DE">
      <w:pPr>
        <w:pStyle w:val="Heading1"/>
        <w:rPr>
          <w:rFonts w:cs="Arial"/>
        </w:rPr>
      </w:pPr>
      <w:bookmarkStart w:id="65" w:name="_Toc264282850"/>
      <w:bookmarkStart w:id="66" w:name="_Toc417920187"/>
      <w:r w:rsidRPr="00585F6C">
        <w:rPr>
          <w:rFonts w:cs="Arial"/>
        </w:rPr>
        <w:lastRenderedPageBreak/>
        <w:t>Synthesis</w:t>
      </w:r>
      <w:r w:rsidR="00754309" w:rsidRPr="00585F6C">
        <w:rPr>
          <w:rFonts w:cs="Arial"/>
        </w:rPr>
        <w:t xml:space="preserve"> and</w:t>
      </w:r>
      <w:r w:rsidR="0078187A" w:rsidRPr="00585F6C">
        <w:rPr>
          <w:rFonts w:cs="Arial"/>
        </w:rPr>
        <w:t xml:space="preserve"> </w:t>
      </w:r>
      <w:bookmarkEnd w:id="65"/>
      <w:r w:rsidR="00896D13" w:rsidRPr="00585F6C">
        <w:rPr>
          <w:rFonts w:cs="Arial"/>
        </w:rPr>
        <w:t>Su</w:t>
      </w:r>
      <w:r w:rsidR="00585F6C" w:rsidRPr="00585F6C">
        <w:rPr>
          <w:rFonts w:cs="Arial"/>
        </w:rPr>
        <w:t>ggestions</w:t>
      </w:r>
      <w:bookmarkEnd w:id="66"/>
    </w:p>
    <w:p w14:paraId="0448F2FE" w14:textId="17122520" w:rsidR="00115283" w:rsidRPr="00277BEC" w:rsidRDefault="00115283" w:rsidP="0017066D">
      <w:pPr>
        <w:spacing w:line="300" w:lineRule="auto"/>
        <w:jc w:val="left"/>
        <w:rPr>
          <w:rFonts w:ascii="Arial" w:hAnsi="Arial" w:cs="Arial"/>
        </w:rPr>
      </w:pPr>
      <w:r w:rsidRPr="00277BEC">
        <w:rPr>
          <w:rFonts w:ascii="Arial" w:hAnsi="Arial" w:cs="Arial"/>
        </w:rPr>
        <w:t xml:space="preserve">In this </w:t>
      </w:r>
      <w:r w:rsidR="009A2758" w:rsidRPr="00277BEC">
        <w:rPr>
          <w:rFonts w:ascii="Arial" w:hAnsi="Arial" w:cs="Arial"/>
        </w:rPr>
        <w:t>chapter</w:t>
      </w:r>
      <w:r w:rsidRPr="00277BEC">
        <w:rPr>
          <w:rFonts w:ascii="Arial" w:hAnsi="Arial" w:cs="Arial"/>
        </w:rPr>
        <w:t xml:space="preserve">, we consider what would be required to develop an integrated mechanism for identifying individuals below the desired minimum levels of reading and numeracy, </w:t>
      </w:r>
      <w:r w:rsidR="00D2286A" w:rsidRPr="00277BEC">
        <w:rPr>
          <w:rFonts w:ascii="Arial" w:hAnsi="Arial" w:cs="Arial"/>
        </w:rPr>
        <w:t xml:space="preserve">which are currently </w:t>
      </w:r>
      <w:r w:rsidR="00D841E9" w:rsidRPr="00277BEC">
        <w:rPr>
          <w:rFonts w:ascii="Arial" w:hAnsi="Arial" w:cs="Arial"/>
        </w:rPr>
        <w:t>accepted</w:t>
      </w:r>
      <w:r w:rsidRPr="00277BEC">
        <w:rPr>
          <w:rFonts w:ascii="Arial" w:hAnsi="Arial" w:cs="Arial"/>
        </w:rPr>
        <w:t xml:space="preserve"> to be ALL </w:t>
      </w:r>
      <w:r w:rsidR="008234DB" w:rsidRPr="00277BEC">
        <w:rPr>
          <w:rFonts w:ascii="Arial" w:hAnsi="Arial" w:cs="Arial"/>
        </w:rPr>
        <w:t>Level</w:t>
      </w:r>
      <w:r w:rsidRPr="00277BEC">
        <w:rPr>
          <w:rFonts w:ascii="Arial" w:hAnsi="Arial" w:cs="Arial"/>
        </w:rPr>
        <w:t xml:space="preserve"> 3. The research question is:</w:t>
      </w:r>
    </w:p>
    <w:p w14:paraId="7D9EAE58" w14:textId="7F512CED" w:rsidR="00115283" w:rsidRPr="00C32D81" w:rsidRDefault="00C32D81" w:rsidP="00C32D81">
      <w:pPr>
        <w:pStyle w:val="BodyText"/>
        <w:spacing w:line="240" w:lineRule="auto"/>
        <w:ind w:left="709" w:hanging="283"/>
        <w:jc w:val="left"/>
        <w:rPr>
          <w:rFonts w:ascii="Arial" w:hAnsi="Arial" w:cs="Arial"/>
          <w:b/>
        </w:rPr>
      </w:pPr>
      <w:r w:rsidRPr="00C32D81">
        <w:rPr>
          <w:rFonts w:ascii="Arial" w:hAnsi="Arial" w:cs="Arial"/>
          <w:b/>
        </w:rPr>
        <w:t>6</w:t>
      </w:r>
      <w:r w:rsidRPr="00C32D81">
        <w:rPr>
          <w:rFonts w:ascii="Arial" w:hAnsi="Arial" w:cs="Arial"/>
          <w:b/>
        </w:rPr>
        <w:tab/>
      </w:r>
      <w:r w:rsidR="00115283" w:rsidRPr="00C32D81">
        <w:rPr>
          <w:rFonts w:ascii="Arial" w:hAnsi="Arial" w:cs="Arial"/>
          <w:b/>
        </w:rPr>
        <w:t xml:space="preserve">What </w:t>
      </w:r>
      <w:r w:rsidR="0038779A" w:rsidRPr="00C32D81">
        <w:rPr>
          <w:rFonts w:ascii="Arial" w:hAnsi="Arial" w:cs="Arial"/>
          <w:b/>
        </w:rPr>
        <w:t>would constitute an integrated mechanism for identifying individuals below the literacy and numeracy benchmarks (</w:t>
      </w:r>
      <w:r>
        <w:rPr>
          <w:rFonts w:ascii="Arial" w:hAnsi="Arial" w:cs="Arial"/>
          <w:b/>
        </w:rPr>
        <w:t>S</w:t>
      </w:r>
      <w:r w:rsidR="0038779A" w:rsidRPr="00C32D81">
        <w:rPr>
          <w:rFonts w:ascii="Arial" w:hAnsi="Arial" w:cs="Arial"/>
          <w:b/>
        </w:rPr>
        <w:t>tep 4 of the reading progressions and step 5 of the numeracy progressions)</w:t>
      </w:r>
      <w:r w:rsidR="00115283" w:rsidRPr="00C32D81">
        <w:rPr>
          <w:rFonts w:ascii="Arial" w:hAnsi="Arial" w:cs="Arial"/>
          <w:b/>
        </w:rPr>
        <w:t>?</w:t>
      </w:r>
    </w:p>
    <w:p w14:paraId="4B936F63" w14:textId="77777777" w:rsidR="00115283" w:rsidRPr="00277BEC" w:rsidRDefault="00115283" w:rsidP="0017066D">
      <w:pPr>
        <w:pStyle w:val="BodyText"/>
        <w:jc w:val="left"/>
        <w:rPr>
          <w:rFonts w:ascii="Arial" w:hAnsi="Arial" w:cs="Arial"/>
        </w:rPr>
      </w:pPr>
      <w:r w:rsidRPr="00277BEC">
        <w:rPr>
          <w:rFonts w:ascii="Arial" w:hAnsi="Arial" w:cs="Arial"/>
        </w:rPr>
        <w:t xml:space="preserve">In this </w:t>
      </w:r>
      <w:r w:rsidR="009A2758" w:rsidRPr="00277BEC">
        <w:rPr>
          <w:rFonts w:ascii="Arial" w:hAnsi="Arial" w:cs="Arial"/>
        </w:rPr>
        <w:t>chapter</w:t>
      </w:r>
      <w:r w:rsidRPr="00277BEC">
        <w:rPr>
          <w:rFonts w:ascii="Arial" w:hAnsi="Arial" w:cs="Arial"/>
        </w:rPr>
        <w:t xml:space="preserve">, we demonstrate how the Assessment Tool </w:t>
      </w:r>
      <w:r w:rsidR="00896D13" w:rsidRPr="00277BEC">
        <w:rPr>
          <w:rFonts w:ascii="Arial" w:hAnsi="Arial" w:cs="Arial"/>
        </w:rPr>
        <w:t>could</w:t>
      </w:r>
      <w:r w:rsidRPr="00277BEC">
        <w:rPr>
          <w:rFonts w:ascii="Arial" w:hAnsi="Arial" w:cs="Arial"/>
        </w:rPr>
        <w:t xml:space="preserve"> be used </w:t>
      </w:r>
      <w:r w:rsidR="00D2286A" w:rsidRPr="00277BEC">
        <w:rPr>
          <w:rFonts w:ascii="Arial" w:hAnsi="Arial" w:cs="Arial"/>
        </w:rPr>
        <w:t>as an integrated mechanism for identifying individuals below desired minimum levels in literacy and numeracy</w:t>
      </w:r>
      <w:r w:rsidRPr="00277BEC">
        <w:rPr>
          <w:rFonts w:ascii="Arial" w:hAnsi="Arial" w:cs="Arial"/>
        </w:rPr>
        <w:t xml:space="preserve">, and show how it can be used as a lynchpin for integrating information from other literacy and numeracy related measures and benchmarks. We also explore some of the caveats on this kind of usage of the tool, and suggest some further work that could increase its efficacy </w:t>
      </w:r>
      <w:r w:rsidR="00896D13" w:rsidRPr="00277BEC">
        <w:rPr>
          <w:rFonts w:ascii="Arial" w:hAnsi="Arial" w:cs="Arial"/>
        </w:rPr>
        <w:t>for this purpose</w:t>
      </w:r>
      <w:r w:rsidRPr="00277BEC">
        <w:rPr>
          <w:rFonts w:ascii="Arial" w:hAnsi="Arial" w:cs="Arial"/>
        </w:rPr>
        <w:t>.</w:t>
      </w:r>
    </w:p>
    <w:p w14:paraId="722507E5" w14:textId="77777777" w:rsidR="00115283" w:rsidRPr="00277BEC" w:rsidRDefault="00115283" w:rsidP="0017066D">
      <w:pPr>
        <w:pStyle w:val="BodyText"/>
        <w:jc w:val="left"/>
        <w:rPr>
          <w:rFonts w:ascii="Arial" w:hAnsi="Arial" w:cs="Arial"/>
        </w:rPr>
      </w:pPr>
      <w:r w:rsidRPr="00277BEC">
        <w:rPr>
          <w:rFonts w:ascii="Arial" w:hAnsi="Arial" w:cs="Arial"/>
        </w:rPr>
        <w:t xml:space="preserve">Figure </w:t>
      </w:r>
      <w:r w:rsidR="0078464C" w:rsidRPr="00277BEC">
        <w:rPr>
          <w:rFonts w:ascii="Arial" w:hAnsi="Arial" w:cs="Arial"/>
        </w:rPr>
        <w:t xml:space="preserve">10 </w:t>
      </w:r>
      <w:r w:rsidRPr="00277BEC">
        <w:rPr>
          <w:rFonts w:ascii="Arial" w:hAnsi="Arial" w:cs="Arial"/>
        </w:rPr>
        <w:t xml:space="preserve">depicts box-and-whisker diagrams showing the distributions of five cohorts from the two samples </w:t>
      </w:r>
      <w:r w:rsidR="0007597A" w:rsidRPr="00277BEC">
        <w:rPr>
          <w:rFonts w:ascii="Arial" w:hAnsi="Arial" w:cs="Arial"/>
        </w:rPr>
        <w:t>used in the present work</w:t>
      </w:r>
      <w:r w:rsidRPr="00277BEC">
        <w:rPr>
          <w:rFonts w:ascii="Arial" w:hAnsi="Arial" w:cs="Arial"/>
        </w:rPr>
        <w:t xml:space="preserve"> on the reading scale. Figure </w:t>
      </w:r>
      <w:r w:rsidR="0078464C" w:rsidRPr="00277BEC">
        <w:rPr>
          <w:rFonts w:ascii="Arial" w:hAnsi="Arial" w:cs="Arial"/>
        </w:rPr>
        <w:t xml:space="preserve">11 </w:t>
      </w:r>
      <w:r w:rsidRPr="00277BEC">
        <w:rPr>
          <w:rFonts w:ascii="Arial" w:hAnsi="Arial" w:cs="Arial"/>
        </w:rPr>
        <w:t>depicts the distributions of the same five cohorts on the numeracy scale. These plots enable an analysis of the relative levels of reading an</w:t>
      </w:r>
      <w:r w:rsidR="00896D13" w:rsidRPr="00277BEC">
        <w:rPr>
          <w:rFonts w:ascii="Arial" w:hAnsi="Arial" w:cs="Arial"/>
        </w:rPr>
        <w:t>d numeracy across these cohorts, which span 12 to 20 year olds.</w:t>
      </w:r>
    </w:p>
    <w:p w14:paraId="11ACE1B7" w14:textId="27B93FF2" w:rsidR="00115283" w:rsidRPr="00277BEC" w:rsidRDefault="00115283" w:rsidP="0017066D">
      <w:pPr>
        <w:pStyle w:val="BodyText"/>
        <w:jc w:val="left"/>
        <w:rPr>
          <w:rFonts w:ascii="Arial" w:hAnsi="Arial" w:cs="Arial"/>
        </w:rPr>
      </w:pPr>
      <w:r w:rsidRPr="00277BEC">
        <w:rPr>
          <w:rFonts w:ascii="Arial" w:hAnsi="Arial" w:cs="Arial"/>
        </w:rPr>
        <w:t xml:space="preserve">One quarter of the </w:t>
      </w:r>
      <w:r w:rsidR="0017066D">
        <w:rPr>
          <w:rFonts w:ascii="Arial" w:hAnsi="Arial" w:cs="Arial"/>
        </w:rPr>
        <w:t>Y</w:t>
      </w:r>
      <w:r w:rsidR="000F11C5" w:rsidRPr="00277BEC">
        <w:rPr>
          <w:rFonts w:ascii="Arial" w:hAnsi="Arial" w:cs="Arial"/>
        </w:rPr>
        <w:t>ear</w:t>
      </w:r>
      <w:r w:rsidRPr="00277BEC">
        <w:rPr>
          <w:rFonts w:ascii="Arial" w:hAnsi="Arial" w:cs="Arial"/>
        </w:rPr>
        <w:t xml:space="preserve"> 8 sample is above ALL </w:t>
      </w:r>
      <w:r w:rsidR="008234DB" w:rsidRPr="00277BEC">
        <w:rPr>
          <w:rFonts w:ascii="Arial" w:hAnsi="Arial" w:cs="Arial"/>
        </w:rPr>
        <w:t>Level</w:t>
      </w:r>
      <w:r w:rsidRPr="00277BEC">
        <w:rPr>
          <w:rFonts w:ascii="Arial" w:hAnsi="Arial" w:cs="Arial"/>
        </w:rPr>
        <w:t xml:space="preserve"> 3 for reading under the criterion defined for this research (</w:t>
      </w:r>
      <w:r w:rsidR="0017066D">
        <w:rPr>
          <w:rFonts w:ascii="Arial" w:hAnsi="Arial" w:cs="Arial"/>
        </w:rPr>
        <w:t>S</w:t>
      </w:r>
      <w:r w:rsidRPr="00277BEC">
        <w:rPr>
          <w:rFonts w:ascii="Arial" w:hAnsi="Arial" w:cs="Arial"/>
        </w:rPr>
        <w:t xml:space="preserve">tep 4 on the reading scale). For </w:t>
      </w:r>
      <w:r w:rsidR="000F11C5" w:rsidRPr="00277BEC">
        <w:rPr>
          <w:rFonts w:ascii="Arial" w:hAnsi="Arial" w:cs="Arial"/>
        </w:rPr>
        <w:t>year</w:t>
      </w:r>
      <w:r w:rsidRPr="00277BEC">
        <w:rPr>
          <w:rFonts w:ascii="Arial" w:hAnsi="Arial" w:cs="Arial"/>
        </w:rPr>
        <w:t xml:space="preserve"> 11 students with NCEA Level 1, this increased to one half, with a small further increase </w:t>
      </w:r>
      <w:r w:rsidR="008B3E60" w:rsidRPr="00277BEC">
        <w:rPr>
          <w:rFonts w:ascii="Arial" w:hAnsi="Arial" w:cs="Arial"/>
        </w:rPr>
        <w:t>of 10</w:t>
      </w:r>
      <w:r w:rsidR="0017066D">
        <w:rPr>
          <w:rFonts w:ascii="Arial" w:hAnsi="Arial" w:cs="Arial"/>
        </w:rPr>
        <w:t xml:space="preserve"> percent</w:t>
      </w:r>
      <w:r w:rsidR="008B3E60" w:rsidRPr="00277BEC">
        <w:rPr>
          <w:rFonts w:ascii="Arial" w:hAnsi="Arial" w:cs="Arial"/>
        </w:rPr>
        <w:t xml:space="preserve"> </w:t>
      </w:r>
      <w:r w:rsidRPr="00277BEC">
        <w:rPr>
          <w:rFonts w:ascii="Arial" w:hAnsi="Arial" w:cs="Arial"/>
        </w:rPr>
        <w:t xml:space="preserve">for </w:t>
      </w:r>
      <w:r w:rsidR="0017066D">
        <w:rPr>
          <w:rFonts w:ascii="Arial" w:hAnsi="Arial" w:cs="Arial"/>
        </w:rPr>
        <w:t>Y</w:t>
      </w:r>
      <w:r w:rsidR="000F11C5" w:rsidRPr="00277BEC">
        <w:rPr>
          <w:rFonts w:ascii="Arial" w:hAnsi="Arial" w:cs="Arial"/>
        </w:rPr>
        <w:t>ear</w:t>
      </w:r>
      <w:r w:rsidRPr="00277BEC">
        <w:rPr>
          <w:rFonts w:ascii="Arial" w:hAnsi="Arial" w:cs="Arial"/>
        </w:rPr>
        <w:t xml:space="preserve"> 12 students with NCEA Level</w:t>
      </w:r>
      <w:r w:rsidR="0078464C" w:rsidRPr="00277BEC">
        <w:rPr>
          <w:rFonts w:ascii="Arial" w:hAnsi="Arial" w:cs="Arial"/>
        </w:rPr>
        <w:t> 2</w:t>
      </w:r>
      <w:r w:rsidRPr="00277BEC">
        <w:rPr>
          <w:rFonts w:ascii="Arial" w:hAnsi="Arial" w:cs="Arial"/>
        </w:rPr>
        <w:t>. Similar com</w:t>
      </w:r>
      <w:r w:rsidR="00C16DA4" w:rsidRPr="00277BEC">
        <w:rPr>
          <w:rFonts w:ascii="Arial" w:hAnsi="Arial" w:cs="Arial"/>
        </w:rPr>
        <w:t>ments apply to the numeracy</w:t>
      </w:r>
      <w:r w:rsidRPr="00277BEC">
        <w:rPr>
          <w:rFonts w:ascii="Arial" w:hAnsi="Arial" w:cs="Arial"/>
        </w:rPr>
        <w:t xml:space="preserve"> scale except that the proportion of the </w:t>
      </w:r>
      <w:r w:rsidR="0017066D">
        <w:rPr>
          <w:rFonts w:ascii="Arial" w:hAnsi="Arial" w:cs="Arial"/>
        </w:rPr>
        <w:t>Y</w:t>
      </w:r>
      <w:r w:rsidR="000F11C5" w:rsidRPr="00277BEC">
        <w:rPr>
          <w:rFonts w:ascii="Arial" w:hAnsi="Arial" w:cs="Arial"/>
        </w:rPr>
        <w:t>ear</w:t>
      </w:r>
      <w:r w:rsidRPr="00277BEC">
        <w:rPr>
          <w:rFonts w:ascii="Arial" w:hAnsi="Arial" w:cs="Arial"/>
        </w:rPr>
        <w:t xml:space="preserve"> 8 sample above the minimum desired level (</w:t>
      </w:r>
      <w:r w:rsidR="0017066D">
        <w:rPr>
          <w:rFonts w:ascii="Arial" w:hAnsi="Arial" w:cs="Arial"/>
        </w:rPr>
        <w:t>S</w:t>
      </w:r>
      <w:r w:rsidRPr="00277BEC">
        <w:rPr>
          <w:rFonts w:ascii="Arial" w:hAnsi="Arial" w:cs="Arial"/>
        </w:rPr>
        <w:t xml:space="preserve">tep 5 on the numeracy scale) was slightly more than one quarter. </w:t>
      </w:r>
      <w:r w:rsidR="00896D13" w:rsidRPr="00277BEC">
        <w:rPr>
          <w:rFonts w:ascii="Arial" w:hAnsi="Arial" w:cs="Arial"/>
        </w:rPr>
        <w:t>It is worth nothing that</w:t>
      </w:r>
      <w:r w:rsidR="0027288E" w:rsidRPr="00277BEC">
        <w:rPr>
          <w:rFonts w:ascii="Arial" w:hAnsi="Arial" w:cs="Arial"/>
        </w:rPr>
        <w:t xml:space="preserve"> the reading profile of the </w:t>
      </w:r>
      <w:r w:rsidR="0017066D">
        <w:rPr>
          <w:rFonts w:ascii="Arial" w:hAnsi="Arial" w:cs="Arial"/>
        </w:rPr>
        <w:t>Y</w:t>
      </w:r>
      <w:r w:rsidR="000F11C5" w:rsidRPr="00277BEC">
        <w:rPr>
          <w:rFonts w:ascii="Arial" w:hAnsi="Arial" w:cs="Arial"/>
        </w:rPr>
        <w:t>ear</w:t>
      </w:r>
      <w:r w:rsidR="0027288E" w:rsidRPr="00277BEC">
        <w:rPr>
          <w:rFonts w:ascii="Arial" w:hAnsi="Arial" w:cs="Arial"/>
        </w:rPr>
        <w:t xml:space="preserve"> 12 students </w:t>
      </w:r>
      <w:r w:rsidR="000844E4" w:rsidRPr="00277BEC">
        <w:rPr>
          <w:rFonts w:ascii="Arial" w:hAnsi="Arial" w:cs="Arial"/>
        </w:rPr>
        <w:t>who have attained NCEA L</w:t>
      </w:r>
      <w:r w:rsidR="0027288E" w:rsidRPr="00277BEC">
        <w:rPr>
          <w:rFonts w:ascii="Arial" w:hAnsi="Arial" w:cs="Arial"/>
        </w:rPr>
        <w:t xml:space="preserve">evel 2 </w:t>
      </w:r>
      <w:r w:rsidR="000844E4" w:rsidRPr="00277BEC">
        <w:rPr>
          <w:rFonts w:ascii="Arial" w:hAnsi="Arial" w:cs="Arial"/>
        </w:rPr>
        <w:t xml:space="preserve">is very similar to that of the </w:t>
      </w:r>
      <w:r w:rsidR="00285484" w:rsidRPr="00277BEC">
        <w:rPr>
          <w:rFonts w:ascii="Arial" w:hAnsi="Arial" w:cs="Arial"/>
        </w:rPr>
        <w:t xml:space="preserve">literacy profile </w:t>
      </w:r>
      <w:r w:rsidR="0007597A" w:rsidRPr="00277BEC">
        <w:rPr>
          <w:rFonts w:ascii="Arial" w:hAnsi="Arial" w:cs="Arial"/>
        </w:rPr>
        <w:t xml:space="preserve">of the </w:t>
      </w:r>
      <w:r w:rsidR="000844E4" w:rsidRPr="00277BEC">
        <w:rPr>
          <w:rFonts w:ascii="Arial" w:hAnsi="Arial" w:cs="Arial"/>
        </w:rPr>
        <w:t>adult population of New Zealand, as measured by the ALL survey in 2006. The</w:t>
      </w:r>
      <w:r w:rsidR="0027288E" w:rsidRPr="00277BEC">
        <w:rPr>
          <w:rFonts w:ascii="Arial" w:hAnsi="Arial" w:cs="Arial"/>
        </w:rPr>
        <w:t xml:space="preserve"> numeracy profiles of </w:t>
      </w:r>
      <w:r w:rsidR="000844E4" w:rsidRPr="00277BEC">
        <w:rPr>
          <w:rFonts w:ascii="Arial" w:hAnsi="Arial" w:cs="Arial"/>
        </w:rPr>
        <w:t xml:space="preserve">both </w:t>
      </w:r>
      <w:r w:rsidR="0027288E" w:rsidRPr="00277BEC">
        <w:rPr>
          <w:rFonts w:ascii="Arial" w:hAnsi="Arial" w:cs="Arial"/>
        </w:rPr>
        <w:t xml:space="preserve">the </w:t>
      </w:r>
      <w:r w:rsidR="0017066D">
        <w:rPr>
          <w:rFonts w:ascii="Arial" w:hAnsi="Arial" w:cs="Arial"/>
        </w:rPr>
        <w:t>Y</w:t>
      </w:r>
      <w:r w:rsidR="000F11C5" w:rsidRPr="00277BEC">
        <w:rPr>
          <w:rFonts w:ascii="Arial" w:hAnsi="Arial" w:cs="Arial"/>
        </w:rPr>
        <w:t>ear</w:t>
      </w:r>
      <w:r w:rsidR="0027288E" w:rsidRPr="00277BEC">
        <w:rPr>
          <w:rFonts w:ascii="Arial" w:hAnsi="Arial" w:cs="Arial"/>
        </w:rPr>
        <w:t xml:space="preserve"> 11 st</w:t>
      </w:r>
      <w:r w:rsidR="000844E4" w:rsidRPr="00277BEC">
        <w:rPr>
          <w:rFonts w:ascii="Arial" w:hAnsi="Arial" w:cs="Arial"/>
        </w:rPr>
        <w:t>udents that have attained NCEA L</w:t>
      </w:r>
      <w:r w:rsidR="0027288E" w:rsidRPr="00277BEC">
        <w:rPr>
          <w:rFonts w:ascii="Arial" w:hAnsi="Arial" w:cs="Arial"/>
        </w:rPr>
        <w:t xml:space="preserve">evel 1 and the students in the </w:t>
      </w:r>
      <w:r w:rsidR="000539A9" w:rsidRPr="00277BEC">
        <w:rPr>
          <w:rFonts w:ascii="Arial" w:hAnsi="Arial" w:cs="Arial"/>
        </w:rPr>
        <w:t>tertiary cohort</w:t>
      </w:r>
      <w:r w:rsidR="0027288E" w:rsidRPr="00277BEC">
        <w:rPr>
          <w:rFonts w:ascii="Arial" w:hAnsi="Arial" w:cs="Arial"/>
        </w:rPr>
        <w:t xml:space="preserve"> that have met the NCEA numeracy </w:t>
      </w:r>
      <w:r w:rsidR="008B3E60" w:rsidRPr="00277BEC">
        <w:rPr>
          <w:rFonts w:ascii="Arial" w:hAnsi="Arial" w:cs="Arial"/>
        </w:rPr>
        <w:t>requirement</w:t>
      </w:r>
      <w:r w:rsidR="000844E4" w:rsidRPr="00277BEC">
        <w:rPr>
          <w:rFonts w:ascii="Arial" w:hAnsi="Arial" w:cs="Arial"/>
        </w:rPr>
        <w:t xml:space="preserve"> also reflect these adult levels.</w:t>
      </w:r>
      <w:r w:rsidR="0027288E" w:rsidRPr="00277BEC">
        <w:rPr>
          <w:rFonts w:ascii="Arial" w:hAnsi="Arial" w:cs="Arial"/>
        </w:rPr>
        <w:t xml:space="preserve"> </w:t>
      </w:r>
      <w:r w:rsidRPr="00277BEC">
        <w:rPr>
          <w:rFonts w:ascii="Arial" w:hAnsi="Arial" w:cs="Arial"/>
        </w:rPr>
        <w:t xml:space="preserve">The figures show that, while reading and numeracy do improve as students move from the end of the </w:t>
      </w:r>
      <w:r w:rsidR="00896D13" w:rsidRPr="00277BEC">
        <w:rPr>
          <w:rFonts w:ascii="Arial" w:hAnsi="Arial" w:cs="Arial"/>
        </w:rPr>
        <w:t>N</w:t>
      </w:r>
      <w:r w:rsidRPr="00277BEC">
        <w:rPr>
          <w:rFonts w:ascii="Arial" w:hAnsi="Arial" w:cs="Arial"/>
        </w:rPr>
        <w:t xml:space="preserve">ational </w:t>
      </w:r>
      <w:r w:rsidR="00896D13" w:rsidRPr="00277BEC">
        <w:rPr>
          <w:rFonts w:ascii="Arial" w:hAnsi="Arial" w:cs="Arial"/>
        </w:rPr>
        <w:t>S</w:t>
      </w:r>
      <w:r w:rsidRPr="00277BEC">
        <w:rPr>
          <w:rFonts w:ascii="Arial" w:hAnsi="Arial" w:cs="Arial"/>
        </w:rPr>
        <w:t xml:space="preserve">tandards system to the level of formal qualifications, they do not improve at a sufficient rate to ensure that a clear majority of students will leave school with </w:t>
      </w:r>
      <w:r w:rsidR="00D841E9" w:rsidRPr="00277BEC">
        <w:rPr>
          <w:rFonts w:ascii="Arial" w:hAnsi="Arial" w:cs="Arial"/>
        </w:rPr>
        <w:t xml:space="preserve">the literacy and numeracy competencies that they need to operate in an </w:t>
      </w:r>
      <w:r w:rsidR="00A368A5" w:rsidRPr="00277BEC">
        <w:rPr>
          <w:rFonts w:ascii="Arial" w:hAnsi="Arial" w:cs="Arial"/>
        </w:rPr>
        <w:t>information-rich</w:t>
      </w:r>
      <w:r w:rsidR="00D841E9" w:rsidRPr="00277BEC">
        <w:rPr>
          <w:rFonts w:ascii="Arial" w:hAnsi="Arial" w:cs="Arial"/>
        </w:rPr>
        <w:t xml:space="preserve"> society.</w:t>
      </w:r>
    </w:p>
    <w:p w14:paraId="305BF755" w14:textId="08D70148" w:rsidR="00115283" w:rsidRPr="00277BEC" w:rsidRDefault="00115283" w:rsidP="0017066D">
      <w:pPr>
        <w:pStyle w:val="BodyText"/>
        <w:jc w:val="left"/>
        <w:rPr>
          <w:rFonts w:ascii="Arial" w:hAnsi="Arial" w:cs="Arial"/>
        </w:rPr>
      </w:pPr>
      <w:r w:rsidRPr="00277BEC">
        <w:rPr>
          <w:rFonts w:ascii="Arial" w:hAnsi="Arial" w:cs="Arial"/>
        </w:rPr>
        <w:t xml:space="preserve">For both the reading and numeracy scales, the distributions of the </w:t>
      </w:r>
      <w:r w:rsidR="000539A9" w:rsidRPr="00277BEC">
        <w:rPr>
          <w:rFonts w:ascii="Arial" w:hAnsi="Arial" w:cs="Arial"/>
        </w:rPr>
        <w:t>tertiary cohort</w:t>
      </w:r>
      <w:r w:rsidRPr="00277BEC">
        <w:rPr>
          <w:rFonts w:ascii="Arial" w:hAnsi="Arial" w:cs="Arial"/>
        </w:rPr>
        <w:t xml:space="preserve"> who had met each of the literacy and numeracy requirements for NCEA Level 1 closely resemble those of the </w:t>
      </w:r>
      <w:r w:rsidR="0017066D">
        <w:rPr>
          <w:rFonts w:ascii="Arial" w:hAnsi="Arial" w:cs="Arial"/>
        </w:rPr>
        <w:t>Y</w:t>
      </w:r>
      <w:r w:rsidR="000F11C5" w:rsidRPr="00277BEC">
        <w:rPr>
          <w:rFonts w:ascii="Arial" w:hAnsi="Arial" w:cs="Arial"/>
        </w:rPr>
        <w:t>ear</w:t>
      </w:r>
      <w:r w:rsidRPr="00277BEC">
        <w:rPr>
          <w:rFonts w:ascii="Arial" w:hAnsi="Arial" w:cs="Arial"/>
        </w:rPr>
        <w:t xml:space="preserve"> 11 cohorts with NCEA Level 1. This </w:t>
      </w:r>
      <w:r w:rsidR="000844E4" w:rsidRPr="00277BEC">
        <w:rPr>
          <w:rFonts w:ascii="Arial" w:hAnsi="Arial" w:cs="Arial"/>
        </w:rPr>
        <w:t xml:space="preserve">is to be expected as the </w:t>
      </w:r>
      <w:r w:rsidR="000539A9" w:rsidRPr="00277BEC">
        <w:rPr>
          <w:rFonts w:ascii="Arial" w:hAnsi="Arial" w:cs="Arial"/>
        </w:rPr>
        <w:t>tertiary cohort</w:t>
      </w:r>
      <w:r w:rsidR="000844E4" w:rsidRPr="00277BEC">
        <w:rPr>
          <w:rFonts w:ascii="Arial" w:hAnsi="Arial" w:cs="Arial"/>
        </w:rPr>
        <w:t xml:space="preserve"> includes 16 to 20 year olds studying at Levels 1 to 3 of the NZQF, and excludes university students. It is likely that on average this cohort would have had poorer reading and numeracy skills at school than those in the school sample</w:t>
      </w:r>
      <w:r w:rsidRPr="00277BEC">
        <w:rPr>
          <w:rFonts w:ascii="Arial" w:hAnsi="Arial" w:cs="Arial"/>
        </w:rPr>
        <w:t xml:space="preserve">. </w:t>
      </w:r>
    </w:p>
    <w:p w14:paraId="532C4727" w14:textId="3B58DCE1" w:rsidR="00115283" w:rsidRPr="00277BEC" w:rsidRDefault="00115283" w:rsidP="0017066D">
      <w:pPr>
        <w:pStyle w:val="BodyText"/>
        <w:jc w:val="left"/>
        <w:rPr>
          <w:rFonts w:ascii="Arial" w:hAnsi="Arial" w:cs="Arial"/>
        </w:rPr>
      </w:pPr>
      <w:r w:rsidRPr="00277BEC">
        <w:rPr>
          <w:rFonts w:ascii="Arial" w:hAnsi="Arial" w:cs="Arial"/>
        </w:rPr>
        <w:lastRenderedPageBreak/>
        <w:t xml:space="preserve">The distributions of the tertiary </w:t>
      </w:r>
      <w:r w:rsidR="000B2578" w:rsidRPr="00277BEC">
        <w:rPr>
          <w:rFonts w:ascii="Arial" w:hAnsi="Arial" w:cs="Arial"/>
        </w:rPr>
        <w:t>cohort</w:t>
      </w:r>
      <w:r w:rsidRPr="00277BEC">
        <w:rPr>
          <w:rFonts w:ascii="Arial" w:hAnsi="Arial" w:cs="Arial"/>
        </w:rPr>
        <w:t xml:space="preserve"> that had not met each of the literacy and </w:t>
      </w:r>
      <w:r w:rsidR="000844E4" w:rsidRPr="00277BEC">
        <w:rPr>
          <w:rFonts w:ascii="Arial" w:hAnsi="Arial" w:cs="Arial"/>
        </w:rPr>
        <w:t xml:space="preserve">numeracy requirements for NCEA </w:t>
      </w:r>
      <w:r w:rsidRPr="00277BEC">
        <w:rPr>
          <w:rFonts w:ascii="Arial" w:hAnsi="Arial" w:cs="Arial"/>
        </w:rPr>
        <w:t xml:space="preserve">Level 1 is concerning; in both cases </w:t>
      </w:r>
      <w:r w:rsidR="0007597A" w:rsidRPr="00277BEC">
        <w:rPr>
          <w:rFonts w:ascii="Arial" w:hAnsi="Arial" w:cs="Arial"/>
        </w:rPr>
        <w:t xml:space="preserve">the medians of </w:t>
      </w:r>
      <w:r w:rsidRPr="00277BEC">
        <w:rPr>
          <w:rFonts w:ascii="Arial" w:hAnsi="Arial" w:cs="Arial"/>
        </w:rPr>
        <w:t xml:space="preserve">these distributions are lower than the corresponding </w:t>
      </w:r>
      <w:r w:rsidR="0017066D">
        <w:rPr>
          <w:rFonts w:ascii="Arial" w:hAnsi="Arial" w:cs="Arial"/>
        </w:rPr>
        <w:t>Y</w:t>
      </w:r>
      <w:r w:rsidR="000F11C5" w:rsidRPr="00277BEC">
        <w:rPr>
          <w:rFonts w:ascii="Arial" w:hAnsi="Arial" w:cs="Arial"/>
        </w:rPr>
        <w:t>ear</w:t>
      </w:r>
      <w:r w:rsidRPr="00277BEC">
        <w:rPr>
          <w:rFonts w:ascii="Arial" w:hAnsi="Arial" w:cs="Arial"/>
        </w:rPr>
        <w:t xml:space="preserve"> 8 sample, and in the case of numeracy, lower at the upper and lower quartiles as well. In both cases, just </w:t>
      </w:r>
      <w:r w:rsidR="000B2578" w:rsidRPr="00277BEC">
        <w:rPr>
          <w:rFonts w:ascii="Arial" w:hAnsi="Arial" w:cs="Arial"/>
        </w:rPr>
        <w:t>one quarter of this cohort meet</w:t>
      </w:r>
      <w:r w:rsidRPr="00277BEC">
        <w:rPr>
          <w:rFonts w:ascii="Arial" w:hAnsi="Arial" w:cs="Arial"/>
        </w:rPr>
        <w:t xml:space="preserve"> the </w:t>
      </w:r>
      <w:r w:rsidR="000B2578" w:rsidRPr="00277BEC">
        <w:rPr>
          <w:rFonts w:ascii="Arial" w:hAnsi="Arial" w:cs="Arial"/>
        </w:rPr>
        <w:t>literacy and numeracy benchmarks</w:t>
      </w:r>
      <w:r w:rsidRPr="00277BEC">
        <w:rPr>
          <w:rFonts w:ascii="Arial" w:hAnsi="Arial" w:cs="Arial"/>
        </w:rPr>
        <w:t xml:space="preserve">. </w:t>
      </w:r>
      <w:r w:rsidR="000B2578" w:rsidRPr="00277BEC">
        <w:rPr>
          <w:rFonts w:ascii="Arial" w:hAnsi="Arial" w:cs="Arial"/>
        </w:rPr>
        <w:t>It needs to be remembered that the tertiary cohort that is the focus for this research is likely to have a lower achievement profile than the more representative school sample.</w:t>
      </w:r>
    </w:p>
    <w:p w14:paraId="64B283C0" w14:textId="46FF1EEB" w:rsidR="00115283" w:rsidRPr="00277BEC" w:rsidRDefault="009567C4" w:rsidP="00402446">
      <w:pPr>
        <w:spacing w:after="0" w:line="300" w:lineRule="auto"/>
        <w:rPr>
          <w:rFonts w:ascii="Arial" w:hAnsi="Arial" w:cs="Arial"/>
        </w:rPr>
      </w:pPr>
      <w:r w:rsidRPr="00277BEC">
        <w:rPr>
          <w:rFonts w:ascii="Arial" w:hAnsi="Arial" w:cs="Arial"/>
          <w:noProof/>
          <w:lang w:val="en-NZ" w:eastAsia="en-NZ"/>
        </w:rPr>
        <w:drawing>
          <wp:inline distT="0" distB="0" distL="0" distR="0" wp14:anchorId="3462D297" wp14:editId="5B07DE49">
            <wp:extent cx="5324179" cy="2879920"/>
            <wp:effectExtent l="25400" t="25400" r="3556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ng"/>
                    <pic:cNvPicPr/>
                  </pic:nvPicPr>
                  <pic:blipFill>
                    <a:blip r:embed="rId28">
                      <a:extLst>
                        <a:ext uri="{28A0092B-C50C-407E-A947-70E740481C1C}">
                          <a14:useLocalDpi xmlns:a14="http://schemas.microsoft.com/office/drawing/2010/main" val="0"/>
                        </a:ext>
                      </a:extLst>
                    </a:blip>
                    <a:stretch>
                      <a:fillRect/>
                    </a:stretch>
                  </pic:blipFill>
                  <pic:spPr>
                    <a:xfrm>
                      <a:off x="0" y="0"/>
                      <a:ext cx="5324179" cy="2879920"/>
                    </a:xfrm>
                    <a:prstGeom prst="rect">
                      <a:avLst/>
                    </a:prstGeom>
                    <a:ln>
                      <a:solidFill>
                        <a:schemeClr val="bg1">
                          <a:lumMod val="50000"/>
                        </a:schemeClr>
                      </a:solidFill>
                    </a:ln>
                  </pic:spPr>
                </pic:pic>
              </a:graphicData>
            </a:graphic>
          </wp:inline>
        </w:drawing>
      </w:r>
    </w:p>
    <w:p w14:paraId="2F753BC3" w14:textId="6FEF3806" w:rsidR="00115283" w:rsidRPr="00277BEC" w:rsidRDefault="00115283" w:rsidP="0017066D">
      <w:pPr>
        <w:pStyle w:val="Caption"/>
        <w:spacing w:after="120"/>
        <w:jc w:val="left"/>
        <w:rPr>
          <w:rFonts w:cs="Arial"/>
        </w:rPr>
      </w:pPr>
      <w:bookmarkStart w:id="67" w:name="_Toc417920083"/>
      <w:r w:rsidRPr="00277BEC">
        <w:rPr>
          <w:rFonts w:cs="Arial"/>
          <w:b/>
        </w:rPr>
        <w:t xml:space="preserve">Figure </w:t>
      </w:r>
      <w:r w:rsidR="00D71DDD" w:rsidRPr="00277BEC">
        <w:rPr>
          <w:rFonts w:cs="Arial"/>
          <w:b/>
        </w:rPr>
        <w:fldChar w:fldCharType="begin"/>
      </w:r>
      <w:r w:rsidRPr="00277BEC">
        <w:rPr>
          <w:rFonts w:cs="Arial"/>
          <w:b/>
        </w:rPr>
        <w:instrText xml:space="preserve"> SEQ Figure \* ARABIC </w:instrText>
      </w:r>
      <w:r w:rsidR="00D71DDD" w:rsidRPr="00277BEC">
        <w:rPr>
          <w:rFonts w:cs="Arial"/>
          <w:b/>
        </w:rPr>
        <w:fldChar w:fldCharType="separate"/>
      </w:r>
      <w:r w:rsidR="00277BEC" w:rsidRPr="00277BEC">
        <w:rPr>
          <w:rFonts w:cs="Arial"/>
          <w:b/>
          <w:noProof/>
        </w:rPr>
        <w:t>10</w:t>
      </w:r>
      <w:r w:rsidR="00D71DDD" w:rsidRPr="00277BEC">
        <w:rPr>
          <w:rFonts w:cs="Arial"/>
          <w:b/>
        </w:rPr>
        <w:fldChar w:fldCharType="end"/>
      </w:r>
      <w:r w:rsidRPr="00277BEC">
        <w:rPr>
          <w:rFonts w:cs="Arial"/>
        </w:rPr>
        <w:t xml:space="preserve"> </w:t>
      </w:r>
      <w:r w:rsidR="009B32D2" w:rsidRPr="00277BEC">
        <w:rPr>
          <w:rFonts w:cs="Arial"/>
        </w:rPr>
        <w:t xml:space="preserve">Distributions of </w:t>
      </w:r>
      <w:r w:rsidR="0017066D">
        <w:rPr>
          <w:rFonts w:cs="Arial"/>
        </w:rPr>
        <w:t>Y</w:t>
      </w:r>
      <w:r w:rsidR="000F11C5" w:rsidRPr="00277BEC">
        <w:rPr>
          <w:rFonts w:cs="Arial"/>
        </w:rPr>
        <w:t>ear</w:t>
      </w:r>
      <w:r w:rsidR="009B32D2" w:rsidRPr="00277BEC">
        <w:rPr>
          <w:rFonts w:cs="Arial"/>
        </w:rPr>
        <w:t xml:space="preserve"> 8 students, </w:t>
      </w:r>
      <w:r w:rsidR="0017066D">
        <w:rPr>
          <w:rFonts w:cs="Arial"/>
        </w:rPr>
        <w:t>Y</w:t>
      </w:r>
      <w:r w:rsidR="000F11C5" w:rsidRPr="00277BEC">
        <w:rPr>
          <w:rFonts w:cs="Arial"/>
        </w:rPr>
        <w:t>ear</w:t>
      </w:r>
      <w:r w:rsidR="009B32D2" w:rsidRPr="00277BEC">
        <w:rPr>
          <w:rFonts w:cs="Arial"/>
        </w:rPr>
        <w:t xml:space="preserve"> 11 students with NCEA Level 1, </w:t>
      </w:r>
      <w:r w:rsidR="0017066D">
        <w:rPr>
          <w:rFonts w:cs="Arial"/>
        </w:rPr>
        <w:t>Y</w:t>
      </w:r>
      <w:r w:rsidR="000F11C5" w:rsidRPr="00277BEC">
        <w:rPr>
          <w:rFonts w:cs="Arial"/>
        </w:rPr>
        <w:t>ear</w:t>
      </w:r>
      <w:r w:rsidR="009B32D2" w:rsidRPr="00277BEC">
        <w:rPr>
          <w:rFonts w:cs="Arial"/>
        </w:rPr>
        <w:t xml:space="preserve"> 12 students with NCEA Level 2, tertiary students with the NCEA literacy requirement and tertiary students without the NCEA literacy requirement on the </w:t>
      </w:r>
      <w:r w:rsidR="008B3E60" w:rsidRPr="00277BEC">
        <w:rPr>
          <w:rFonts w:cs="Arial"/>
        </w:rPr>
        <w:t>reading</w:t>
      </w:r>
      <w:r w:rsidR="009B32D2" w:rsidRPr="00277BEC">
        <w:rPr>
          <w:rFonts w:cs="Arial"/>
        </w:rPr>
        <w:t xml:space="preserve"> </w:t>
      </w:r>
      <w:r w:rsidR="00B061A1" w:rsidRPr="00277BEC">
        <w:rPr>
          <w:rFonts w:cs="Arial"/>
        </w:rPr>
        <w:t>scale</w:t>
      </w:r>
      <w:r w:rsidR="009B32D2" w:rsidRPr="00277BEC">
        <w:rPr>
          <w:rFonts w:cs="Arial"/>
        </w:rPr>
        <w:t>.</w:t>
      </w:r>
      <w:bookmarkEnd w:id="67"/>
    </w:p>
    <w:p w14:paraId="3F82679B" w14:textId="4451EDD8" w:rsidR="00115283" w:rsidRPr="00277BEC" w:rsidRDefault="009567C4" w:rsidP="00402446">
      <w:pPr>
        <w:spacing w:after="0" w:line="300" w:lineRule="auto"/>
        <w:rPr>
          <w:rFonts w:ascii="Arial" w:hAnsi="Arial" w:cs="Arial"/>
        </w:rPr>
      </w:pPr>
      <w:r w:rsidRPr="00277BEC">
        <w:rPr>
          <w:rFonts w:ascii="Arial" w:hAnsi="Arial" w:cs="Arial"/>
          <w:noProof/>
          <w:lang w:val="en-NZ" w:eastAsia="en-NZ"/>
        </w:rPr>
        <w:drawing>
          <wp:inline distT="0" distB="0" distL="0" distR="0" wp14:anchorId="69FB9F8E" wp14:editId="67FBC67E">
            <wp:extent cx="5327209" cy="2675643"/>
            <wp:effectExtent l="25400" t="25400" r="32385"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ng"/>
                    <pic:cNvPicPr/>
                  </pic:nvPicPr>
                  <pic:blipFill>
                    <a:blip r:embed="rId29">
                      <a:extLst>
                        <a:ext uri="{28A0092B-C50C-407E-A947-70E740481C1C}">
                          <a14:useLocalDpi xmlns:a14="http://schemas.microsoft.com/office/drawing/2010/main" val="0"/>
                        </a:ext>
                      </a:extLst>
                    </a:blip>
                    <a:stretch>
                      <a:fillRect/>
                    </a:stretch>
                  </pic:blipFill>
                  <pic:spPr>
                    <a:xfrm>
                      <a:off x="0" y="0"/>
                      <a:ext cx="5327209" cy="2675643"/>
                    </a:xfrm>
                    <a:prstGeom prst="rect">
                      <a:avLst/>
                    </a:prstGeom>
                    <a:ln>
                      <a:solidFill>
                        <a:schemeClr val="bg1">
                          <a:lumMod val="50000"/>
                        </a:schemeClr>
                      </a:solidFill>
                    </a:ln>
                  </pic:spPr>
                </pic:pic>
              </a:graphicData>
            </a:graphic>
          </wp:inline>
        </w:drawing>
      </w:r>
    </w:p>
    <w:p w14:paraId="08CD6EE4" w14:textId="3499E23E" w:rsidR="00115283" w:rsidRPr="00277BEC" w:rsidRDefault="00115283" w:rsidP="0017066D">
      <w:pPr>
        <w:pStyle w:val="Caption"/>
        <w:jc w:val="left"/>
        <w:rPr>
          <w:rFonts w:cs="Arial"/>
        </w:rPr>
      </w:pPr>
      <w:bookmarkStart w:id="68" w:name="_Toc417920084"/>
      <w:r w:rsidRPr="00277BEC">
        <w:rPr>
          <w:rFonts w:cs="Arial"/>
          <w:b/>
        </w:rPr>
        <w:t xml:space="preserve">Figure </w:t>
      </w:r>
      <w:r w:rsidR="00D71DDD" w:rsidRPr="00277BEC">
        <w:rPr>
          <w:rFonts w:cs="Arial"/>
          <w:b/>
        </w:rPr>
        <w:fldChar w:fldCharType="begin"/>
      </w:r>
      <w:r w:rsidRPr="00277BEC">
        <w:rPr>
          <w:rFonts w:cs="Arial"/>
          <w:b/>
        </w:rPr>
        <w:instrText xml:space="preserve"> SEQ Figure \* ARABIC </w:instrText>
      </w:r>
      <w:r w:rsidR="00D71DDD" w:rsidRPr="00277BEC">
        <w:rPr>
          <w:rFonts w:cs="Arial"/>
          <w:b/>
        </w:rPr>
        <w:fldChar w:fldCharType="separate"/>
      </w:r>
      <w:r w:rsidR="00277BEC" w:rsidRPr="00277BEC">
        <w:rPr>
          <w:rFonts w:cs="Arial"/>
          <w:b/>
          <w:noProof/>
        </w:rPr>
        <w:t>11</w:t>
      </w:r>
      <w:r w:rsidR="00D71DDD" w:rsidRPr="00277BEC">
        <w:rPr>
          <w:rFonts w:cs="Arial"/>
          <w:b/>
        </w:rPr>
        <w:fldChar w:fldCharType="end"/>
      </w:r>
      <w:r w:rsidRPr="00277BEC">
        <w:rPr>
          <w:rFonts w:cs="Arial"/>
        </w:rPr>
        <w:t xml:space="preserve"> </w:t>
      </w:r>
      <w:r w:rsidR="009B32D2" w:rsidRPr="00277BEC">
        <w:rPr>
          <w:rFonts w:cs="Arial"/>
        </w:rPr>
        <w:t xml:space="preserve">Distributions of </w:t>
      </w:r>
      <w:r w:rsidR="0017066D">
        <w:rPr>
          <w:rFonts w:cs="Arial"/>
        </w:rPr>
        <w:t>Y</w:t>
      </w:r>
      <w:r w:rsidR="000F11C5" w:rsidRPr="00277BEC">
        <w:rPr>
          <w:rFonts w:cs="Arial"/>
        </w:rPr>
        <w:t>ear</w:t>
      </w:r>
      <w:r w:rsidR="009B32D2" w:rsidRPr="00277BEC">
        <w:rPr>
          <w:rFonts w:cs="Arial"/>
        </w:rPr>
        <w:t xml:space="preserve"> 8 students, </w:t>
      </w:r>
      <w:r w:rsidR="0017066D">
        <w:rPr>
          <w:rFonts w:cs="Arial"/>
        </w:rPr>
        <w:t>Y</w:t>
      </w:r>
      <w:r w:rsidR="000F11C5" w:rsidRPr="00277BEC">
        <w:rPr>
          <w:rFonts w:cs="Arial"/>
        </w:rPr>
        <w:t>ear</w:t>
      </w:r>
      <w:r w:rsidR="009B32D2" w:rsidRPr="00277BEC">
        <w:rPr>
          <w:rFonts w:cs="Arial"/>
        </w:rPr>
        <w:t xml:space="preserve"> 11 students with NCEA Level 1, </w:t>
      </w:r>
      <w:r w:rsidR="0017066D">
        <w:rPr>
          <w:rFonts w:cs="Arial"/>
        </w:rPr>
        <w:t>Y</w:t>
      </w:r>
      <w:r w:rsidR="000F11C5" w:rsidRPr="00277BEC">
        <w:rPr>
          <w:rFonts w:cs="Arial"/>
        </w:rPr>
        <w:t>ear</w:t>
      </w:r>
      <w:r w:rsidR="009B32D2" w:rsidRPr="00277BEC">
        <w:rPr>
          <w:rFonts w:cs="Arial"/>
        </w:rPr>
        <w:t xml:space="preserve"> 12 students with NCEA Level 2, tertiary students with the NCEA numeracy requirement and tertiary students without the NCEA numeracy requirement on the </w:t>
      </w:r>
      <w:r w:rsidR="00B061A1" w:rsidRPr="00277BEC">
        <w:rPr>
          <w:rFonts w:cs="Arial"/>
        </w:rPr>
        <w:t>numeracy scale</w:t>
      </w:r>
      <w:r w:rsidR="00402446" w:rsidRPr="00277BEC">
        <w:rPr>
          <w:rFonts w:cs="Arial"/>
        </w:rPr>
        <w:t>.</w:t>
      </w:r>
      <w:bookmarkEnd w:id="68"/>
    </w:p>
    <w:p w14:paraId="1C0A3BF6" w14:textId="77777777" w:rsidR="0017066D" w:rsidRDefault="0017066D">
      <w:pPr>
        <w:spacing w:after="0" w:line="240" w:lineRule="auto"/>
        <w:jc w:val="left"/>
        <w:rPr>
          <w:rFonts w:ascii="Arial" w:eastAsia="Times" w:hAnsi="Arial" w:cs="Arial"/>
          <w:szCs w:val="20"/>
        </w:rPr>
      </w:pPr>
      <w:r>
        <w:rPr>
          <w:rFonts w:ascii="Arial" w:hAnsi="Arial" w:cs="Arial"/>
        </w:rPr>
        <w:br w:type="page"/>
      </w:r>
    </w:p>
    <w:p w14:paraId="4C23E28A" w14:textId="70DE525A" w:rsidR="00115283" w:rsidRPr="00277BEC" w:rsidRDefault="00115283" w:rsidP="0017066D">
      <w:pPr>
        <w:pStyle w:val="BodyText"/>
        <w:jc w:val="left"/>
        <w:rPr>
          <w:rFonts w:ascii="Arial" w:hAnsi="Arial" w:cs="Arial"/>
        </w:rPr>
      </w:pPr>
      <w:r w:rsidRPr="00277BEC">
        <w:rPr>
          <w:rFonts w:ascii="Arial" w:hAnsi="Arial" w:cs="Arial"/>
        </w:rPr>
        <w:lastRenderedPageBreak/>
        <w:t xml:space="preserve">The </w:t>
      </w:r>
      <w:r w:rsidR="000844E4" w:rsidRPr="00277BEC">
        <w:rPr>
          <w:rFonts w:ascii="Arial" w:hAnsi="Arial" w:cs="Arial"/>
        </w:rPr>
        <w:t>Assessment Tool</w:t>
      </w:r>
      <w:r w:rsidRPr="00277BEC">
        <w:rPr>
          <w:rFonts w:ascii="Arial" w:hAnsi="Arial" w:cs="Arial"/>
        </w:rPr>
        <w:t xml:space="preserve"> has two very attractive features as a lynchpin or integrating mechanism</w:t>
      </w:r>
      <w:r w:rsidR="0038779A" w:rsidRPr="00277BEC">
        <w:rPr>
          <w:rFonts w:ascii="Arial" w:hAnsi="Arial" w:cs="Arial"/>
        </w:rPr>
        <w:t>:</w:t>
      </w:r>
      <w:r w:rsidRPr="00277BEC">
        <w:rPr>
          <w:rFonts w:ascii="Arial" w:hAnsi="Arial" w:cs="Arial"/>
        </w:rPr>
        <w:t xml:space="preserve"> it is calibrated to a measurement scale, and its online platform and adaptive algorithm and item bank make it accessible and efficient. However, before it can be adopted as a</w:t>
      </w:r>
      <w:r w:rsidR="009B32D2" w:rsidRPr="00277BEC">
        <w:rPr>
          <w:rFonts w:ascii="Arial" w:hAnsi="Arial" w:cs="Arial"/>
        </w:rPr>
        <w:t xml:space="preserve">n </w:t>
      </w:r>
      <w:r w:rsidRPr="00277BEC">
        <w:rPr>
          <w:rFonts w:ascii="Arial" w:hAnsi="Arial" w:cs="Arial"/>
        </w:rPr>
        <w:t>integrating mechanism, some further work should be undertaken and some caveats apply</w:t>
      </w:r>
      <w:r w:rsidR="007A2F7D" w:rsidRPr="00277BEC">
        <w:rPr>
          <w:rFonts w:ascii="Arial" w:hAnsi="Arial" w:cs="Arial"/>
        </w:rPr>
        <w:t xml:space="preserve">. </w:t>
      </w:r>
      <w:r w:rsidRPr="00277BEC">
        <w:rPr>
          <w:rFonts w:ascii="Arial" w:hAnsi="Arial" w:cs="Arial"/>
        </w:rPr>
        <w:t xml:space="preserve">First, given the equivocal nature of the alignment work already undertaken, further work should be undertaken to </w:t>
      </w:r>
      <w:r w:rsidR="000844E4" w:rsidRPr="00277BEC">
        <w:rPr>
          <w:rFonts w:ascii="Arial" w:hAnsi="Arial" w:cs="Arial"/>
        </w:rPr>
        <w:t xml:space="preserve">confirm the steps on the reading and numeracy scales that best represent the minimum competencies required by New Zealand adults </w:t>
      </w:r>
      <w:r w:rsidR="00B061A1" w:rsidRPr="00277BEC">
        <w:rPr>
          <w:rFonts w:ascii="Arial" w:hAnsi="Arial" w:cs="Arial"/>
        </w:rPr>
        <w:t xml:space="preserve">to participate fully in </w:t>
      </w:r>
      <w:r w:rsidR="007E4121" w:rsidRPr="00277BEC">
        <w:rPr>
          <w:rFonts w:ascii="Arial" w:hAnsi="Arial" w:cs="Arial"/>
        </w:rPr>
        <w:t xml:space="preserve">an </w:t>
      </w:r>
      <w:r w:rsidR="00A368A5" w:rsidRPr="00277BEC">
        <w:rPr>
          <w:rFonts w:ascii="Arial" w:hAnsi="Arial" w:cs="Arial"/>
        </w:rPr>
        <w:t>information-rich</w:t>
      </w:r>
      <w:r w:rsidR="007E4121" w:rsidRPr="00277BEC">
        <w:rPr>
          <w:rFonts w:ascii="Arial" w:hAnsi="Arial" w:cs="Arial"/>
        </w:rPr>
        <w:t xml:space="preserve"> society.</w:t>
      </w:r>
      <w:r w:rsidR="001F6775" w:rsidRPr="00277BEC">
        <w:rPr>
          <w:rFonts w:ascii="Arial" w:hAnsi="Arial" w:cs="Arial"/>
        </w:rPr>
        <w:t xml:space="preserve"> Because the ALL survey has been superseded by the</w:t>
      </w:r>
      <w:r w:rsidR="008C5C16" w:rsidRPr="00277BEC">
        <w:rPr>
          <w:rFonts w:ascii="Arial" w:hAnsi="Arial" w:cs="Arial"/>
        </w:rPr>
        <w:t xml:space="preserve"> Programme for the International Assessment of Adult Competencies (PIAAC) which will first be conducted in New Zealand in 2014 (</w:t>
      </w:r>
      <w:r w:rsidR="00C7352D" w:rsidRPr="00277BEC">
        <w:rPr>
          <w:rFonts w:ascii="Arial" w:hAnsi="Arial" w:cs="Arial"/>
        </w:rPr>
        <w:t>Ministry of Education, 2014c</w:t>
      </w:r>
      <w:r w:rsidR="00811881" w:rsidRPr="00277BEC">
        <w:rPr>
          <w:rFonts w:ascii="Arial" w:hAnsi="Arial" w:cs="Arial"/>
        </w:rPr>
        <w:t xml:space="preserve">) </w:t>
      </w:r>
      <w:r w:rsidR="001F6775" w:rsidRPr="00277BEC">
        <w:rPr>
          <w:rFonts w:ascii="Arial" w:hAnsi="Arial" w:cs="Arial"/>
        </w:rPr>
        <w:t xml:space="preserve">it would be </w:t>
      </w:r>
      <w:r w:rsidR="007E4121" w:rsidRPr="00277BEC">
        <w:rPr>
          <w:rFonts w:ascii="Arial" w:hAnsi="Arial" w:cs="Arial"/>
        </w:rPr>
        <w:t>useful</w:t>
      </w:r>
      <w:r w:rsidR="001F6775" w:rsidRPr="00277BEC">
        <w:rPr>
          <w:rFonts w:ascii="Arial" w:hAnsi="Arial" w:cs="Arial"/>
        </w:rPr>
        <w:t xml:space="preserve"> to </w:t>
      </w:r>
      <w:r w:rsidR="008C5C16" w:rsidRPr="00277BEC">
        <w:rPr>
          <w:rFonts w:ascii="Arial" w:hAnsi="Arial" w:cs="Arial"/>
        </w:rPr>
        <w:t xml:space="preserve">align these minimum competencies with the PIAAC </w:t>
      </w:r>
      <w:r w:rsidR="00117ACE" w:rsidRPr="00277BEC">
        <w:rPr>
          <w:rFonts w:ascii="Arial" w:hAnsi="Arial" w:cs="Arial"/>
        </w:rPr>
        <w:t>scale</w:t>
      </w:r>
      <w:r w:rsidR="007A2F7D" w:rsidRPr="00277BEC">
        <w:rPr>
          <w:rFonts w:ascii="Arial" w:hAnsi="Arial" w:cs="Arial"/>
        </w:rPr>
        <w:t xml:space="preserve">. </w:t>
      </w:r>
      <w:r w:rsidRPr="00277BEC">
        <w:rPr>
          <w:rFonts w:ascii="Arial" w:hAnsi="Arial" w:cs="Arial"/>
        </w:rPr>
        <w:t xml:space="preserve">Ideally, this would be done using a combination of the methods employed by </w:t>
      </w:r>
      <w:r w:rsidR="007C3B50" w:rsidRPr="00277BEC">
        <w:rPr>
          <w:rFonts w:ascii="Arial" w:hAnsi="Arial" w:cs="Arial"/>
        </w:rPr>
        <w:t>NZCER (</w:t>
      </w:r>
      <w:r w:rsidR="008E09D2" w:rsidRPr="00277BEC">
        <w:rPr>
          <w:rFonts w:ascii="Arial" w:hAnsi="Arial" w:cs="Arial"/>
        </w:rPr>
        <w:t>2010a</w:t>
      </w:r>
      <w:r w:rsidR="007C3B50" w:rsidRPr="00277BEC">
        <w:rPr>
          <w:rFonts w:ascii="Arial" w:hAnsi="Arial" w:cs="Arial"/>
        </w:rPr>
        <w:t xml:space="preserve">, </w:t>
      </w:r>
      <w:r w:rsidR="002A3F35" w:rsidRPr="00277BEC">
        <w:rPr>
          <w:rFonts w:ascii="Arial" w:hAnsi="Arial" w:cs="Arial"/>
        </w:rPr>
        <w:t>2010b</w:t>
      </w:r>
      <w:r w:rsidR="007C3B50" w:rsidRPr="00277BEC">
        <w:rPr>
          <w:rFonts w:ascii="Arial" w:hAnsi="Arial" w:cs="Arial"/>
        </w:rPr>
        <w:t>)</w:t>
      </w:r>
      <w:r w:rsidRPr="00277BEC">
        <w:rPr>
          <w:rFonts w:ascii="Arial" w:hAnsi="Arial" w:cs="Arial"/>
        </w:rPr>
        <w:t xml:space="preserve"> and Earle (2014); that is, both a measurement approach and a statistical approach, using sufficient numbers of items from each of the </w:t>
      </w:r>
      <w:r w:rsidR="008C5C16" w:rsidRPr="00277BEC">
        <w:rPr>
          <w:rFonts w:ascii="Arial" w:hAnsi="Arial" w:cs="Arial"/>
        </w:rPr>
        <w:t>PIAAC</w:t>
      </w:r>
      <w:r w:rsidRPr="00277BEC">
        <w:rPr>
          <w:rFonts w:ascii="Arial" w:hAnsi="Arial" w:cs="Arial"/>
        </w:rPr>
        <w:t xml:space="preserve"> </w:t>
      </w:r>
      <w:r w:rsidR="008B3E60" w:rsidRPr="00277BEC">
        <w:rPr>
          <w:rFonts w:ascii="Arial" w:hAnsi="Arial" w:cs="Arial"/>
        </w:rPr>
        <w:t xml:space="preserve">assessment </w:t>
      </w:r>
      <w:r w:rsidRPr="00277BEC">
        <w:rPr>
          <w:rFonts w:ascii="Arial" w:hAnsi="Arial" w:cs="Arial"/>
        </w:rPr>
        <w:t xml:space="preserve">and the </w:t>
      </w:r>
      <w:r w:rsidR="008C5C16" w:rsidRPr="00277BEC">
        <w:rPr>
          <w:rFonts w:ascii="Arial" w:hAnsi="Arial" w:cs="Arial"/>
        </w:rPr>
        <w:t>Assessment Tool</w:t>
      </w:r>
      <w:r w:rsidRPr="00277BEC">
        <w:rPr>
          <w:rFonts w:ascii="Arial" w:hAnsi="Arial" w:cs="Arial"/>
        </w:rPr>
        <w:t xml:space="preserve"> to reliably co-calibrate, as well as to undertake regression analyses to map the two scales onto one another.</w:t>
      </w:r>
    </w:p>
    <w:p w14:paraId="17B6AD70" w14:textId="41D12B77" w:rsidR="00115283" w:rsidRPr="00277BEC" w:rsidRDefault="00117ACE" w:rsidP="0017066D">
      <w:pPr>
        <w:pStyle w:val="BodyText"/>
        <w:jc w:val="left"/>
        <w:rPr>
          <w:rFonts w:ascii="Arial" w:hAnsi="Arial" w:cs="Arial"/>
        </w:rPr>
      </w:pPr>
      <w:r w:rsidRPr="00277BEC">
        <w:rPr>
          <w:rFonts w:ascii="Arial" w:hAnsi="Arial" w:cs="Arial"/>
        </w:rPr>
        <w:t>It needs to be remembered that this project has not included measures of writing, listening, or speaking which are all important aspects of literacy. While the Assessment Tool does include an adaptive writing assessment it may be worth considering extending the scope of the tool to include these elements if it were to be used for the purpose of identifying whether individuals had met th</w:t>
      </w:r>
      <w:r w:rsidR="00285484" w:rsidRPr="00277BEC">
        <w:rPr>
          <w:rFonts w:ascii="Arial" w:hAnsi="Arial" w:cs="Arial"/>
        </w:rPr>
        <w:t>e agreed minimum competencies. Similarly, elements of geometry and statistics are not included in the Assessment Tool measure of numeracy.</w:t>
      </w:r>
      <w:r w:rsidR="00D2286A" w:rsidRPr="00277BEC">
        <w:rPr>
          <w:rFonts w:ascii="Arial" w:hAnsi="Arial" w:cs="Arial"/>
        </w:rPr>
        <w:t xml:space="preserve"> Additionally it needs to be noted that the </w:t>
      </w:r>
      <w:r w:rsidR="0017066D">
        <w:rPr>
          <w:rFonts w:ascii="Arial" w:hAnsi="Arial" w:cs="Arial"/>
        </w:rPr>
        <w:t>Y</w:t>
      </w:r>
      <w:r w:rsidR="00D2286A" w:rsidRPr="00277BEC">
        <w:rPr>
          <w:rFonts w:ascii="Arial" w:hAnsi="Arial" w:cs="Arial"/>
        </w:rPr>
        <w:t xml:space="preserve">ear 8, 11 and 12 students completed assessment items developed for an adult audience. While there was no indication from the participating schools that the items were inappropriate it is likely that the newly developed Youth Assessment option would be more engaging and understandable to secondary school students.  </w:t>
      </w:r>
    </w:p>
    <w:p w14:paraId="56286B57" w14:textId="3B56214B" w:rsidR="00115283" w:rsidRPr="00277BEC" w:rsidRDefault="00115283" w:rsidP="0017066D">
      <w:pPr>
        <w:pStyle w:val="BodyText"/>
        <w:jc w:val="left"/>
        <w:rPr>
          <w:rFonts w:ascii="Arial" w:hAnsi="Arial" w:cs="Arial"/>
        </w:rPr>
      </w:pPr>
      <w:r w:rsidRPr="00277BEC">
        <w:rPr>
          <w:rFonts w:ascii="Arial" w:hAnsi="Arial" w:cs="Arial"/>
        </w:rPr>
        <w:t xml:space="preserve">A key finding from the present </w:t>
      </w:r>
      <w:r w:rsidR="00117ACE" w:rsidRPr="00277BEC">
        <w:rPr>
          <w:rFonts w:ascii="Arial" w:hAnsi="Arial" w:cs="Arial"/>
        </w:rPr>
        <w:t>project</w:t>
      </w:r>
      <w:r w:rsidRPr="00277BEC">
        <w:rPr>
          <w:rFonts w:ascii="Arial" w:hAnsi="Arial" w:cs="Arial"/>
        </w:rPr>
        <w:t xml:space="preserve"> is that the literacy and numeracy requirements for NCEA </w:t>
      </w:r>
      <w:r w:rsidR="003D4681" w:rsidRPr="00277BEC">
        <w:rPr>
          <w:rFonts w:ascii="Arial" w:hAnsi="Arial" w:cs="Arial"/>
        </w:rPr>
        <w:t>cannot be used as reliable</w:t>
      </w:r>
      <w:r w:rsidR="00BF699C" w:rsidRPr="00277BEC">
        <w:rPr>
          <w:rFonts w:ascii="Arial" w:hAnsi="Arial" w:cs="Arial"/>
        </w:rPr>
        <w:t xml:space="preserve"> indicator</w:t>
      </w:r>
      <w:r w:rsidR="003D4681" w:rsidRPr="00277BEC">
        <w:rPr>
          <w:rFonts w:ascii="Arial" w:hAnsi="Arial" w:cs="Arial"/>
        </w:rPr>
        <w:t>s</w:t>
      </w:r>
      <w:r w:rsidR="00BF699C" w:rsidRPr="00277BEC">
        <w:rPr>
          <w:rFonts w:ascii="Arial" w:hAnsi="Arial" w:cs="Arial"/>
        </w:rPr>
        <w:t xml:space="preserve"> of students’ literacy and numeracy capabilities</w:t>
      </w:r>
      <w:r w:rsidR="00117ACE" w:rsidRPr="00277BEC">
        <w:rPr>
          <w:rFonts w:ascii="Arial" w:hAnsi="Arial" w:cs="Arial"/>
        </w:rPr>
        <w:t xml:space="preserve">. </w:t>
      </w:r>
      <w:r w:rsidRPr="00277BEC">
        <w:rPr>
          <w:rFonts w:ascii="Arial" w:hAnsi="Arial" w:cs="Arial"/>
        </w:rPr>
        <w:t>While it is not a purpose of this report to make formal recommendations regarding the policy implications of this finding, some suggestions for consideration follow.</w:t>
      </w:r>
    </w:p>
    <w:p w14:paraId="67AAD7A6" w14:textId="107D5A49" w:rsidR="00115283" w:rsidRPr="00277BEC" w:rsidRDefault="00285484" w:rsidP="0017066D">
      <w:pPr>
        <w:pStyle w:val="BodyText"/>
        <w:jc w:val="left"/>
        <w:rPr>
          <w:rFonts w:ascii="Arial" w:hAnsi="Arial" w:cs="Arial"/>
        </w:rPr>
      </w:pPr>
      <w:r w:rsidRPr="00277BEC">
        <w:rPr>
          <w:rFonts w:ascii="Arial" w:hAnsi="Arial" w:cs="Arial"/>
        </w:rPr>
        <w:t>The</w:t>
      </w:r>
      <w:r w:rsidR="00115283" w:rsidRPr="00277BEC">
        <w:rPr>
          <w:rFonts w:ascii="Arial" w:hAnsi="Arial" w:cs="Arial"/>
        </w:rPr>
        <w:t xml:space="preserve"> literacy and numeracy </w:t>
      </w:r>
      <w:r w:rsidRPr="00277BEC">
        <w:rPr>
          <w:rFonts w:ascii="Arial" w:hAnsi="Arial" w:cs="Arial"/>
        </w:rPr>
        <w:t>requirements for NCEA appear</w:t>
      </w:r>
      <w:r w:rsidR="00115283" w:rsidRPr="00277BEC">
        <w:rPr>
          <w:rFonts w:ascii="Arial" w:hAnsi="Arial" w:cs="Arial"/>
        </w:rPr>
        <w:t xml:space="preserve"> to be attainable with level</w:t>
      </w:r>
      <w:r w:rsidR="00117ACE" w:rsidRPr="00277BEC">
        <w:rPr>
          <w:rFonts w:ascii="Arial" w:hAnsi="Arial" w:cs="Arial"/>
        </w:rPr>
        <w:t>s of reading and numeracy skill</w:t>
      </w:r>
      <w:r w:rsidR="00115283" w:rsidRPr="00277BEC">
        <w:rPr>
          <w:rFonts w:ascii="Arial" w:hAnsi="Arial" w:cs="Arial"/>
        </w:rPr>
        <w:t xml:space="preserve"> below </w:t>
      </w:r>
      <w:r w:rsidR="007E4121" w:rsidRPr="00277BEC">
        <w:rPr>
          <w:rFonts w:ascii="Arial" w:hAnsi="Arial" w:cs="Arial"/>
        </w:rPr>
        <w:t>the current literacy and numeracy benchmarks</w:t>
      </w:r>
      <w:r w:rsidR="00117ACE" w:rsidRPr="00277BEC">
        <w:rPr>
          <w:rFonts w:ascii="Arial" w:hAnsi="Arial" w:cs="Arial"/>
        </w:rPr>
        <w:t>.</w:t>
      </w:r>
      <w:r w:rsidR="00115283" w:rsidRPr="00277BEC">
        <w:rPr>
          <w:rFonts w:ascii="Arial" w:hAnsi="Arial" w:cs="Arial"/>
        </w:rPr>
        <w:t xml:space="preserve"> While it might be desirable to demonstrate that high proportions of students are meeting these requirements, several consequences of weak criteria for meeting them might ensue. First, many individuals might be misled into believing that they are functionally literate and numerate when they are not. Second, employers or higher-learning institutions </w:t>
      </w:r>
      <w:r w:rsidR="00761614" w:rsidRPr="00277BEC">
        <w:rPr>
          <w:rFonts w:ascii="Arial" w:hAnsi="Arial" w:cs="Arial"/>
        </w:rPr>
        <w:t>may disregard the literacy or numeracy credentials linked to NCEA and establish their own testing regimes.</w:t>
      </w:r>
      <w:r w:rsidR="00115283" w:rsidRPr="00277BEC">
        <w:rPr>
          <w:rFonts w:ascii="Arial" w:hAnsi="Arial" w:cs="Arial"/>
        </w:rPr>
        <w:t xml:space="preserve"> Third, there is a risk that policy makers </w:t>
      </w:r>
      <w:r w:rsidR="00761614" w:rsidRPr="00277BEC">
        <w:rPr>
          <w:rFonts w:ascii="Arial" w:hAnsi="Arial" w:cs="Arial"/>
        </w:rPr>
        <w:t xml:space="preserve">may </w:t>
      </w:r>
      <w:r w:rsidR="0008079A" w:rsidRPr="00277BEC">
        <w:rPr>
          <w:rFonts w:ascii="Arial" w:hAnsi="Arial" w:cs="Arial"/>
        </w:rPr>
        <w:t>over</w:t>
      </w:r>
      <w:r w:rsidR="00761614" w:rsidRPr="00277BEC">
        <w:rPr>
          <w:rFonts w:ascii="Arial" w:hAnsi="Arial" w:cs="Arial"/>
        </w:rPr>
        <w:t xml:space="preserve">estimate the </w:t>
      </w:r>
      <w:r w:rsidR="0008079A" w:rsidRPr="00277BEC">
        <w:rPr>
          <w:rFonts w:ascii="Arial" w:hAnsi="Arial" w:cs="Arial"/>
        </w:rPr>
        <w:t xml:space="preserve">literacy and numeracy competencies of </w:t>
      </w:r>
      <w:r w:rsidR="00761614" w:rsidRPr="00277BEC">
        <w:rPr>
          <w:rFonts w:ascii="Arial" w:hAnsi="Arial" w:cs="Arial"/>
        </w:rPr>
        <w:t xml:space="preserve">school leavers. </w:t>
      </w:r>
    </w:p>
    <w:p w14:paraId="201FDC7D" w14:textId="07D35398" w:rsidR="00CD254F" w:rsidRPr="00277BEC" w:rsidRDefault="00115283" w:rsidP="0017066D">
      <w:pPr>
        <w:pStyle w:val="BodyText"/>
        <w:jc w:val="left"/>
        <w:rPr>
          <w:rFonts w:ascii="Arial" w:hAnsi="Arial" w:cs="Arial"/>
        </w:rPr>
      </w:pPr>
      <w:r w:rsidRPr="00277BEC">
        <w:rPr>
          <w:rFonts w:ascii="Arial" w:hAnsi="Arial" w:cs="Arial"/>
        </w:rPr>
        <w:lastRenderedPageBreak/>
        <w:t xml:space="preserve">Part of the solution must therefore be to ensure </w:t>
      </w:r>
      <w:r w:rsidR="00285484" w:rsidRPr="00277BEC">
        <w:rPr>
          <w:rFonts w:ascii="Arial" w:hAnsi="Arial" w:cs="Arial"/>
        </w:rPr>
        <w:t>that the requirement is set at the appropriate level</w:t>
      </w:r>
      <w:r w:rsidR="00831D62" w:rsidRPr="00277BEC">
        <w:rPr>
          <w:rFonts w:ascii="Arial" w:hAnsi="Arial" w:cs="Arial"/>
        </w:rPr>
        <w:t xml:space="preserve"> and that it is</w:t>
      </w:r>
      <w:r w:rsidR="00285484" w:rsidRPr="00277BEC">
        <w:rPr>
          <w:rFonts w:ascii="Arial" w:hAnsi="Arial" w:cs="Arial"/>
        </w:rPr>
        <w:t xml:space="preserve"> </w:t>
      </w:r>
      <w:r w:rsidRPr="00277BEC">
        <w:rPr>
          <w:rFonts w:ascii="Arial" w:hAnsi="Arial" w:cs="Arial"/>
        </w:rPr>
        <w:t>proper</w:t>
      </w:r>
      <w:r w:rsidR="00831D62" w:rsidRPr="00277BEC">
        <w:rPr>
          <w:rFonts w:ascii="Arial" w:hAnsi="Arial" w:cs="Arial"/>
        </w:rPr>
        <w:t>ly</w:t>
      </w:r>
      <w:r w:rsidRPr="00277BEC">
        <w:rPr>
          <w:rFonts w:ascii="Arial" w:hAnsi="Arial" w:cs="Arial"/>
        </w:rPr>
        <w:t xml:space="preserve"> and rigorous</w:t>
      </w:r>
      <w:r w:rsidR="00831D62" w:rsidRPr="00277BEC">
        <w:rPr>
          <w:rFonts w:ascii="Arial" w:hAnsi="Arial" w:cs="Arial"/>
        </w:rPr>
        <w:t>ly</w:t>
      </w:r>
      <w:r w:rsidRPr="00277BEC">
        <w:rPr>
          <w:rFonts w:ascii="Arial" w:hAnsi="Arial" w:cs="Arial"/>
        </w:rPr>
        <w:t xml:space="preserve"> </w:t>
      </w:r>
      <w:r w:rsidR="00831D62" w:rsidRPr="00277BEC">
        <w:rPr>
          <w:rFonts w:ascii="Arial" w:hAnsi="Arial" w:cs="Arial"/>
        </w:rPr>
        <w:t>assessed</w:t>
      </w:r>
      <w:r w:rsidR="007A2F7D" w:rsidRPr="00277BEC">
        <w:rPr>
          <w:rFonts w:ascii="Arial" w:hAnsi="Arial" w:cs="Arial"/>
        </w:rPr>
        <w:t xml:space="preserve">. </w:t>
      </w:r>
      <w:r w:rsidR="00831D62" w:rsidRPr="00277BEC">
        <w:rPr>
          <w:rFonts w:ascii="Arial" w:hAnsi="Arial" w:cs="Arial"/>
        </w:rPr>
        <w:t>The pathways themselves may also need</w:t>
      </w:r>
      <w:r w:rsidRPr="00277BEC">
        <w:rPr>
          <w:rFonts w:ascii="Arial" w:hAnsi="Arial" w:cs="Arial"/>
        </w:rPr>
        <w:t xml:space="preserve"> review if they do not certify </w:t>
      </w:r>
      <w:r w:rsidR="00CB56E1" w:rsidRPr="00277BEC">
        <w:rPr>
          <w:rFonts w:ascii="Arial" w:hAnsi="Arial" w:cs="Arial"/>
        </w:rPr>
        <w:t>functional</w:t>
      </w:r>
      <w:r w:rsidR="00831D62" w:rsidRPr="00277BEC">
        <w:rPr>
          <w:rFonts w:ascii="Arial" w:hAnsi="Arial" w:cs="Arial"/>
        </w:rPr>
        <w:t xml:space="preserve">ly </w:t>
      </w:r>
      <w:r w:rsidRPr="00277BEC">
        <w:rPr>
          <w:rFonts w:ascii="Arial" w:hAnsi="Arial" w:cs="Arial"/>
        </w:rPr>
        <w:t xml:space="preserve">adult levels of literacy and numeracy. Another component of the solution might be to institute literacy and numeracy requirements prior to the senior secondary years that must be met as a pre-requisite to undertaking formal qualifications. It might also be appropriate to consider </w:t>
      </w:r>
      <w:r w:rsidR="00CB56E1" w:rsidRPr="00277BEC">
        <w:rPr>
          <w:rFonts w:ascii="Arial" w:hAnsi="Arial" w:cs="Arial"/>
        </w:rPr>
        <w:t>credentialing literacy and numeracy independently from qualifications</w:t>
      </w:r>
      <w:r w:rsidRPr="00277BEC">
        <w:rPr>
          <w:rFonts w:ascii="Arial" w:hAnsi="Arial" w:cs="Arial"/>
        </w:rPr>
        <w:t xml:space="preserve">, to assess and certify the level of </w:t>
      </w:r>
      <w:r w:rsidR="004B4368" w:rsidRPr="00277BEC">
        <w:rPr>
          <w:rFonts w:ascii="Arial" w:hAnsi="Arial" w:cs="Arial"/>
        </w:rPr>
        <w:t>literacy and numeracy</w:t>
      </w:r>
      <w:r w:rsidRPr="00277BEC">
        <w:rPr>
          <w:rFonts w:ascii="Arial" w:hAnsi="Arial" w:cs="Arial"/>
        </w:rPr>
        <w:t xml:space="preserve"> attained by each student before they leave school.</w:t>
      </w:r>
      <w:r w:rsidR="00CD254F" w:rsidRPr="00277BEC">
        <w:rPr>
          <w:rFonts w:ascii="Arial" w:hAnsi="Arial" w:cs="Arial"/>
        </w:rPr>
        <w:br w:type="page"/>
      </w:r>
    </w:p>
    <w:p w14:paraId="015A7172" w14:textId="77777777" w:rsidR="00626F60" w:rsidRPr="00277BEC" w:rsidRDefault="00626F60" w:rsidP="0017066D">
      <w:pPr>
        <w:pStyle w:val="Heading1"/>
        <w:numPr>
          <w:ilvl w:val="0"/>
          <w:numId w:val="0"/>
        </w:numPr>
        <w:ind w:left="567" w:hanging="567"/>
        <w:jc w:val="left"/>
        <w:rPr>
          <w:rFonts w:cs="Arial"/>
          <w:noProof/>
        </w:rPr>
      </w:pPr>
      <w:bookmarkStart w:id="69" w:name="_Toc264282851"/>
      <w:bookmarkStart w:id="70" w:name="_Toc417920188"/>
      <w:r w:rsidRPr="00277BEC">
        <w:rPr>
          <w:rFonts w:cs="Arial"/>
          <w:noProof/>
        </w:rPr>
        <w:lastRenderedPageBreak/>
        <w:t>References</w:t>
      </w:r>
      <w:bookmarkEnd w:id="69"/>
      <w:bookmarkEnd w:id="70"/>
      <w:r w:rsidRPr="00277BEC">
        <w:rPr>
          <w:rFonts w:cs="Arial"/>
          <w:noProof/>
        </w:rPr>
        <w:t xml:space="preserve"> </w:t>
      </w:r>
    </w:p>
    <w:p w14:paraId="09A62919" w14:textId="0AE7A528" w:rsidR="00D45C5E" w:rsidRPr="00277BEC" w:rsidRDefault="00D45C5E" w:rsidP="0017066D">
      <w:pPr>
        <w:spacing w:line="240" w:lineRule="auto"/>
        <w:ind w:left="426" w:hanging="426"/>
        <w:jc w:val="left"/>
        <w:rPr>
          <w:rFonts w:ascii="Arial" w:hAnsi="Arial" w:cs="Arial"/>
        </w:rPr>
      </w:pPr>
      <w:proofErr w:type="spellStart"/>
      <w:r w:rsidRPr="00277BEC">
        <w:rPr>
          <w:rFonts w:ascii="Arial" w:hAnsi="Arial" w:cs="Arial"/>
        </w:rPr>
        <w:t>Darr</w:t>
      </w:r>
      <w:proofErr w:type="spellEnd"/>
      <w:r w:rsidRPr="00277BEC">
        <w:rPr>
          <w:rFonts w:ascii="Arial" w:hAnsi="Arial" w:cs="Arial"/>
        </w:rPr>
        <w:t xml:space="preserve">, C. (2010). Inside the Assessment Tool: Part 2. In </w:t>
      </w:r>
      <w:r w:rsidRPr="00277BEC">
        <w:rPr>
          <w:rFonts w:ascii="Arial" w:hAnsi="Arial" w:cs="Arial"/>
          <w:i/>
        </w:rPr>
        <w:t>Assessing Adult Learning: literacy and numeracy competencies</w:t>
      </w:r>
      <w:r w:rsidRPr="00277BEC">
        <w:rPr>
          <w:rFonts w:ascii="Arial" w:hAnsi="Arial" w:cs="Arial"/>
        </w:rPr>
        <w:t xml:space="preserve"> (pp. 41–52). Wellington: NZCER Press.</w:t>
      </w:r>
    </w:p>
    <w:p w14:paraId="02070133" w14:textId="0DAEEDDB" w:rsidR="008809B7" w:rsidRPr="00277BEC" w:rsidRDefault="008809B7" w:rsidP="0017066D">
      <w:pPr>
        <w:spacing w:line="240" w:lineRule="auto"/>
        <w:ind w:left="426" w:hanging="426"/>
        <w:jc w:val="left"/>
        <w:rPr>
          <w:rFonts w:ascii="Arial" w:hAnsi="Arial" w:cs="Arial"/>
        </w:rPr>
      </w:pPr>
      <w:r w:rsidRPr="00277BEC">
        <w:rPr>
          <w:rFonts w:ascii="Arial" w:hAnsi="Arial" w:cs="Arial"/>
        </w:rPr>
        <w:t xml:space="preserve">Earle, D. (February, 2014). </w:t>
      </w:r>
      <w:proofErr w:type="gramStart"/>
      <w:r w:rsidRPr="00277BEC">
        <w:rPr>
          <w:rFonts w:ascii="Arial" w:hAnsi="Arial" w:cs="Arial"/>
          <w:i/>
        </w:rPr>
        <w:t>Measures of Adult Literacy and Numeracy, Comparing the Adult Literacy and Life Skills Survey and Literacy and Numeracy for Adults Assessment Tool.</w:t>
      </w:r>
      <w:proofErr w:type="gramEnd"/>
      <w:r w:rsidRPr="00277BEC">
        <w:rPr>
          <w:rFonts w:ascii="Arial" w:hAnsi="Arial" w:cs="Arial"/>
        </w:rPr>
        <w:t xml:space="preserve"> Wellington: Ministry of Education.</w:t>
      </w:r>
    </w:p>
    <w:p w14:paraId="61C5B290" w14:textId="010BAF1E" w:rsidR="00564ED3" w:rsidRPr="00277BEC" w:rsidRDefault="00564ED3" w:rsidP="0017066D">
      <w:pPr>
        <w:pStyle w:val="NormalWeb"/>
        <w:spacing w:beforeLines="0" w:afterLines="0"/>
        <w:ind w:left="482" w:hanging="482"/>
        <w:jc w:val="left"/>
        <w:rPr>
          <w:rFonts w:ascii="Arial" w:hAnsi="Arial" w:cs="Arial"/>
          <w:noProof/>
          <w:sz w:val="22"/>
        </w:rPr>
      </w:pPr>
      <w:r w:rsidRPr="00277BEC">
        <w:rPr>
          <w:rFonts w:ascii="Arial" w:hAnsi="Arial" w:cs="Arial"/>
          <w:noProof/>
          <w:sz w:val="22"/>
        </w:rPr>
        <w:t>Ministry of Education (March, 2009)</w:t>
      </w:r>
      <w:r w:rsidR="007A2F7D" w:rsidRPr="00277BEC">
        <w:rPr>
          <w:rFonts w:ascii="Arial" w:hAnsi="Arial" w:cs="Arial"/>
          <w:noProof/>
          <w:sz w:val="22"/>
        </w:rPr>
        <w:t xml:space="preserve">. </w:t>
      </w:r>
      <w:r w:rsidRPr="00277BEC">
        <w:rPr>
          <w:rFonts w:ascii="Arial" w:hAnsi="Arial" w:cs="Arial"/>
          <w:i/>
          <w:noProof/>
          <w:sz w:val="22"/>
        </w:rPr>
        <w:t>How well do qualifications predict literacy and numeracy (Fact sheet).</w:t>
      </w:r>
      <w:r w:rsidRPr="00277BEC">
        <w:rPr>
          <w:rFonts w:ascii="Arial" w:hAnsi="Arial" w:cs="Arial"/>
          <w:noProof/>
          <w:sz w:val="22"/>
        </w:rPr>
        <w:t xml:space="preserve"> Ministry of Education, Wellington.</w:t>
      </w:r>
    </w:p>
    <w:p w14:paraId="78601F3F" w14:textId="71E691C2" w:rsidR="00673B70" w:rsidRPr="00277BEC" w:rsidRDefault="00673B70" w:rsidP="0017066D">
      <w:pPr>
        <w:pStyle w:val="NormalWeb"/>
        <w:spacing w:beforeLines="0" w:afterLines="0"/>
        <w:ind w:left="482" w:hanging="482"/>
        <w:jc w:val="left"/>
        <w:rPr>
          <w:rFonts w:ascii="Arial" w:hAnsi="Arial" w:cs="Arial"/>
          <w:noProof/>
          <w:sz w:val="22"/>
        </w:rPr>
      </w:pPr>
      <w:r w:rsidRPr="00277BEC">
        <w:rPr>
          <w:rFonts w:ascii="Arial" w:hAnsi="Arial" w:cs="Arial"/>
          <w:noProof/>
          <w:sz w:val="22"/>
        </w:rPr>
        <w:t>Min</w:t>
      </w:r>
      <w:r w:rsidR="00A1058C" w:rsidRPr="00277BEC">
        <w:rPr>
          <w:rFonts w:ascii="Arial" w:hAnsi="Arial" w:cs="Arial"/>
          <w:noProof/>
          <w:sz w:val="22"/>
        </w:rPr>
        <w:t>istry of Education (March, 2009a</w:t>
      </w:r>
      <w:r w:rsidRPr="00277BEC">
        <w:rPr>
          <w:rFonts w:ascii="Arial" w:hAnsi="Arial" w:cs="Arial"/>
          <w:noProof/>
          <w:sz w:val="22"/>
        </w:rPr>
        <w:t>)</w:t>
      </w:r>
      <w:r w:rsidR="007A2F7D" w:rsidRPr="00277BEC">
        <w:rPr>
          <w:rFonts w:ascii="Arial" w:hAnsi="Arial" w:cs="Arial"/>
          <w:noProof/>
          <w:sz w:val="22"/>
        </w:rPr>
        <w:t xml:space="preserve">. </w:t>
      </w:r>
      <w:r w:rsidRPr="00277BEC">
        <w:rPr>
          <w:rFonts w:ascii="Arial" w:hAnsi="Arial" w:cs="Arial"/>
          <w:i/>
          <w:noProof/>
          <w:sz w:val="22"/>
        </w:rPr>
        <w:t xml:space="preserve">The New Zealand Curriculum Reading and Writing Standards for years 1-8. </w:t>
      </w:r>
      <w:r w:rsidRPr="00277BEC">
        <w:rPr>
          <w:rFonts w:ascii="Arial" w:hAnsi="Arial" w:cs="Arial"/>
          <w:noProof/>
          <w:sz w:val="22"/>
        </w:rPr>
        <w:t>Ministry of Education, Wellington.</w:t>
      </w:r>
    </w:p>
    <w:p w14:paraId="1A9BA69B" w14:textId="070BFC9C" w:rsidR="00A1058C" w:rsidRPr="00277BEC" w:rsidRDefault="00A1058C" w:rsidP="0017066D">
      <w:pPr>
        <w:pStyle w:val="NormalWeb"/>
        <w:spacing w:beforeLines="0" w:afterLines="0"/>
        <w:ind w:left="482" w:hanging="482"/>
        <w:jc w:val="left"/>
        <w:rPr>
          <w:rFonts w:ascii="Arial" w:hAnsi="Arial" w:cs="Arial"/>
          <w:noProof/>
          <w:sz w:val="22"/>
        </w:rPr>
      </w:pPr>
      <w:r w:rsidRPr="00277BEC">
        <w:rPr>
          <w:rFonts w:ascii="Arial" w:hAnsi="Arial" w:cs="Arial"/>
          <w:noProof/>
          <w:sz w:val="22"/>
        </w:rPr>
        <w:t>Ministry of Education (March, 2009b)</w:t>
      </w:r>
      <w:r w:rsidR="007A2F7D" w:rsidRPr="00277BEC">
        <w:rPr>
          <w:rFonts w:ascii="Arial" w:hAnsi="Arial" w:cs="Arial"/>
          <w:noProof/>
          <w:sz w:val="22"/>
        </w:rPr>
        <w:t xml:space="preserve">. </w:t>
      </w:r>
      <w:r w:rsidRPr="00277BEC">
        <w:rPr>
          <w:rFonts w:ascii="Arial" w:hAnsi="Arial" w:cs="Arial"/>
          <w:i/>
          <w:noProof/>
          <w:sz w:val="22"/>
        </w:rPr>
        <w:t xml:space="preserve">The New Zealand Curriculum Mathematics Standards for years 1-8. </w:t>
      </w:r>
      <w:r w:rsidRPr="00277BEC">
        <w:rPr>
          <w:rFonts w:ascii="Arial" w:hAnsi="Arial" w:cs="Arial"/>
          <w:noProof/>
          <w:sz w:val="22"/>
        </w:rPr>
        <w:t>Ministry of Education, Wellington.</w:t>
      </w:r>
    </w:p>
    <w:p w14:paraId="60533F61" w14:textId="73B7A4A7" w:rsidR="00660533" w:rsidRPr="00277BEC" w:rsidRDefault="00660533" w:rsidP="0017066D">
      <w:pPr>
        <w:pStyle w:val="NormalWeb"/>
        <w:spacing w:beforeLines="0" w:afterLines="0"/>
        <w:ind w:left="482" w:hanging="482"/>
        <w:jc w:val="left"/>
        <w:rPr>
          <w:rFonts w:ascii="Arial" w:hAnsi="Arial" w:cs="Arial"/>
          <w:noProof/>
          <w:sz w:val="22"/>
        </w:rPr>
      </w:pPr>
      <w:r w:rsidRPr="00277BEC">
        <w:rPr>
          <w:rFonts w:ascii="Arial" w:hAnsi="Arial" w:cs="Arial"/>
          <w:noProof/>
          <w:sz w:val="22"/>
        </w:rPr>
        <w:t>Ministry of Education</w:t>
      </w:r>
      <w:r w:rsidR="00C5194C" w:rsidRPr="00277BEC">
        <w:rPr>
          <w:rFonts w:ascii="Arial" w:hAnsi="Arial" w:cs="Arial"/>
          <w:noProof/>
          <w:sz w:val="22"/>
        </w:rPr>
        <w:t xml:space="preserve"> </w:t>
      </w:r>
      <w:r w:rsidRPr="00277BEC">
        <w:rPr>
          <w:rFonts w:ascii="Arial" w:hAnsi="Arial" w:cs="Arial"/>
          <w:noProof/>
          <w:sz w:val="22"/>
        </w:rPr>
        <w:t xml:space="preserve">(2014). </w:t>
      </w:r>
      <w:r w:rsidRPr="00277BEC">
        <w:rPr>
          <w:rFonts w:ascii="Arial" w:hAnsi="Arial" w:cs="Arial"/>
          <w:i/>
          <w:noProof/>
          <w:sz w:val="22"/>
        </w:rPr>
        <w:t>Tertiary Education Strategy 2014 -201</w:t>
      </w:r>
      <w:r w:rsidR="0096767C" w:rsidRPr="00277BEC">
        <w:rPr>
          <w:rFonts w:ascii="Arial" w:hAnsi="Arial" w:cs="Arial"/>
          <w:i/>
          <w:noProof/>
          <w:sz w:val="22"/>
        </w:rPr>
        <w:t>9</w:t>
      </w:r>
      <w:r w:rsidRPr="00277BEC">
        <w:rPr>
          <w:rFonts w:ascii="Arial" w:hAnsi="Arial" w:cs="Arial"/>
          <w:noProof/>
          <w:sz w:val="22"/>
        </w:rPr>
        <w:t>. Ministry of Education, Wellington.</w:t>
      </w:r>
    </w:p>
    <w:p w14:paraId="74B3597B" w14:textId="6734928D" w:rsidR="006357E2" w:rsidRPr="00277BEC" w:rsidRDefault="00564ED3" w:rsidP="0017066D">
      <w:pPr>
        <w:spacing w:line="240" w:lineRule="auto"/>
        <w:ind w:left="482" w:hanging="482"/>
        <w:jc w:val="left"/>
        <w:rPr>
          <w:rFonts w:ascii="Arial" w:hAnsi="Arial" w:cs="Arial"/>
        </w:rPr>
      </w:pPr>
      <w:proofErr w:type="gramStart"/>
      <w:r w:rsidRPr="00277BEC">
        <w:rPr>
          <w:rFonts w:ascii="Arial" w:hAnsi="Arial" w:cs="Arial"/>
        </w:rPr>
        <w:t>Ministry of Education (2014a</w:t>
      </w:r>
      <w:r w:rsidR="006357E2" w:rsidRPr="00277BEC">
        <w:rPr>
          <w:rFonts w:ascii="Arial" w:hAnsi="Arial" w:cs="Arial"/>
        </w:rPr>
        <w:t>).</w:t>
      </w:r>
      <w:proofErr w:type="gramEnd"/>
      <w:r w:rsidR="006357E2" w:rsidRPr="00277BEC">
        <w:rPr>
          <w:rFonts w:ascii="Arial" w:hAnsi="Arial" w:cs="Arial"/>
        </w:rPr>
        <w:t xml:space="preserve"> </w:t>
      </w:r>
      <w:proofErr w:type="gramStart"/>
      <w:r w:rsidR="006357E2" w:rsidRPr="00277BEC">
        <w:rPr>
          <w:rFonts w:ascii="Arial" w:hAnsi="Arial" w:cs="Arial"/>
          <w:i/>
        </w:rPr>
        <w:t>July School Roll Returns</w:t>
      </w:r>
      <w:r w:rsidR="006357E2" w:rsidRPr="00277BEC">
        <w:rPr>
          <w:rFonts w:ascii="Arial" w:hAnsi="Arial" w:cs="Arial"/>
        </w:rPr>
        <w:t>.</w:t>
      </w:r>
      <w:proofErr w:type="gramEnd"/>
      <w:r w:rsidR="006357E2" w:rsidRPr="00277BEC">
        <w:rPr>
          <w:rFonts w:ascii="Arial" w:hAnsi="Arial" w:cs="Arial"/>
        </w:rPr>
        <w:t xml:space="preserve"> Retrieved 12 June, 2014, from: http://www.educationcounts.govt.nz/statistics/schooling/july_school_roll_returns</w:t>
      </w:r>
    </w:p>
    <w:p w14:paraId="1F7CBD72" w14:textId="66E71D09" w:rsidR="006357E2" w:rsidRPr="00277BEC" w:rsidRDefault="00C7352D" w:rsidP="0017066D">
      <w:pPr>
        <w:jc w:val="left"/>
        <w:rPr>
          <w:rFonts w:ascii="Arial" w:hAnsi="Arial" w:cs="Arial"/>
        </w:rPr>
      </w:pPr>
      <w:proofErr w:type="gramStart"/>
      <w:r w:rsidRPr="00277BEC">
        <w:rPr>
          <w:rFonts w:ascii="Arial" w:hAnsi="Arial" w:cs="Arial"/>
        </w:rPr>
        <w:t>Ministry of Education (2014b</w:t>
      </w:r>
      <w:r w:rsidR="006357E2" w:rsidRPr="00277BEC">
        <w:rPr>
          <w:rFonts w:ascii="Arial" w:hAnsi="Arial" w:cs="Arial"/>
        </w:rPr>
        <w:t>).</w:t>
      </w:r>
      <w:proofErr w:type="gramEnd"/>
      <w:r w:rsidR="006357E2" w:rsidRPr="00277BEC">
        <w:rPr>
          <w:rFonts w:ascii="Arial" w:hAnsi="Arial" w:cs="Arial"/>
        </w:rPr>
        <w:t xml:space="preserve"> </w:t>
      </w:r>
      <w:r w:rsidR="006357E2" w:rsidRPr="00277BEC">
        <w:rPr>
          <w:rFonts w:ascii="Arial" w:hAnsi="Arial" w:cs="Arial"/>
          <w:i/>
        </w:rPr>
        <w:t>Better Public Services</w:t>
      </w:r>
      <w:r w:rsidR="006357E2" w:rsidRPr="00277BEC">
        <w:rPr>
          <w:rFonts w:ascii="Arial" w:hAnsi="Arial" w:cs="Arial"/>
        </w:rPr>
        <w:t>. Retrieved 10 June, 2014, from:</w:t>
      </w:r>
      <w:r w:rsidR="008B3E60" w:rsidRPr="00277BEC">
        <w:rPr>
          <w:rFonts w:ascii="Arial" w:hAnsi="Arial" w:cs="Arial"/>
        </w:rPr>
        <w:t xml:space="preserve"> http://www.minedu.govt.nz/theMinistry/BetterPublicServices.aspx </w:t>
      </w:r>
    </w:p>
    <w:p w14:paraId="0F7C7856" w14:textId="4B51DF1A" w:rsidR="00C7352D" w:rsidRPr="00277BEC" w:rsidRDefault="00C7352D" w:rsidP="0017066D">
      <w:pPr>
        <w:spacing w:line="240" w:lineRule="auto"/>
        <w:ind w:left="482" w:hanging="482"/>
        <w:jc w:val="left"/>
        <w:rPr>
          <w:rFonts w:ascii="Arial" w:hAnsi="Arial" w:cs="Arial"/>
        </w:rPr>
      </w:pPr>
      <w:proofErr w:type="gramStart"/>
      <w:r w:rsidRPr="00277BEC">
        <w:rPr>
          <w:rFonts w:ascii="Arial" w:hAnsi="Arial" w:cs="Arial"/>
        </w:rPr>
        <w:t>Ministry of Education (2014c).</w:t>
      </w:r>
      <w:proofErr w:type="gramEnd"/>
      <w:r w:rsidRPr="00277BEC">
        <w:rPr>
          <w:rFonts w:ascii="Arial" w:hAnsi="Arial" w:cs="Arial"/>
        </w:rPr>
        <w:t xml:space="preserve"> </w:t>
      </w:r>
      <w:r w:rsidRPr="00277BEC">
        <w:rPr>
          <w:rFonts w:ascii="Arial" w:hAnsi="Arial" w:cs="Arial"/>
          <w:i/>
        </w:rPr>
        <w:t>Programme for the International Assessment of Adult Competencies (PIAAC), International Survey of Adult Skills (ISAS)</w:t>
      </w:r>
      <w:r w:rsidRPr="00277BEC">
        <w:rPr>
          <w:rFonts w:ascii="Arial" w:hAnsi="Arial" w:cs="Arial"/>
        </w:rPr>
        <w:t>. Retrieved 12 June, 2014, from: http://www.educationcounts.govt.nz/topics/research/piaac</w:t>
      </w:r>
    </w:p>
    <w:p w14:paraId="5EEAA0CC" w14:textId="77777777" w:rsidR="006961DE" w:rsidRPr="00277BEC" w:rsidRDefault="006961DE" w:rsidP="0017066D">
      <w:pPr>
        <w:tabs>
          <w:tab w:val="left" w:pos="567"/>
        </w:tabs>
        <w:spacing w:line="240" w:lineRule="auto"/>
        <w:ind w:left="567" w:hanging="567"/>
        <w:jc w:val="left"/>
        <w:rPr>
          <w:rFonts w:ascii="Arial" w:hAnsi="Arial" w:cs="Arial"/>
        </w:rPr>
      </w:pPr>
      <w:proofErr w:type="gramStart"/>
      <w:r w:rsidRPr="00277BEC">
        <w:rPr>
          <w:rFonts w:ascii="Arial" w:hAnsi="Arial" w:cs="Arial"/>
        </w:rPr>
        <w:t>NZCER (2009).</w:t>
      </w:r>
      <w:proofErr w:type="gramEnd"/>
      <w:r w:rsidRPr="00277BEC">
        <w:rPr>
          <w:rFonts w:ascii="Arial" w:hAnsi="Arial" w:cs="Arial"/>
        </w:rPr>
        <w:t xml:space="preserve"> </w:t>
      </w:r>
      <w:proofErr w:type="gramStart"/>
      <w:r w:rsidRPr="00277BEC">
        <w:rPr>
          <w:rFonts w:ascii="Arial" w:hAnsi="Arial" w:cs="Arial"/>
          <w:i/>
        </w:rPr>
        <w:t>Automatic Assembly of Test Forms.</w:t>
      </w:r>
      <w:proofErr w:type="gramEnd"/>
      <w:r w:rsidRPr="00277BEC">
        <w:rPr>
          <w:rFonts w:ascii="Arial" w:hAnsi="Arial" w:cs="Arial"/>
          <w:i/>
        </w:rPr>
        <w:t xml:space="preserve"> </w:t>
      </w:r>
      <w:proofErr w:type="gramStart"/>
      <w:r w:rsidRPr="00277BEC">
        <w:rPr>
          <w:rFonts w:ascii="Arial" w:hAnsi="Arial" w:cs="Arial"/>
        </w:rPr>
        <w:t>Internal Technical Report for the Assessment Tool.</w:t>
      </w:r>
      <w:proofErr w:type="gramEnd"/>
    </w:p>
    <w:p w14:paraId="6A278A99" w14:textId="77777777" w:rsidR="006961DE" w:rsidRPr="00277BEC" w:rsidRDefault="006961DE" w:rsidP="0017066D">
      <w:pPr>
        <w:tabs>
          <w:tab w:val="left" w:pos="567"/>
        </w:tabs>
        <w:spacing w:line="240" w:lineRule="auto"/>
        <w:ind w:left="567" w:hanging="567"/>
        <w:jc w:val="left"/>
        <w:rPr>
          <w:rFonts w:ascii="Arial" w:hAnsi="Arial" w:cs="Arial"/>
        </w:rPr>
      </w:pPr>
      <w:proofErr w:type="gramStart"/>
      <w:r w:rsidRPr="00277BEC">
        <w:rPr>
          <w:rFonts w:ascii="Arial" w:hAnsi="Arial" w:cs="Arial"/>
        </w:rPr>
        <w:t>NZCER (2009a).</w:t>
      </w:r>
      <w:proofErr w:type="gramEnd"/>
      <w:r w:rsidRPr="00277BEC">
        <w:rPr>
          <w:rFonts w:ascii="Arial" w:hAnsi="Arial" w:cs="Arial"/>
        </w:rPr>
        <w:t xml:space="preserve"> </w:t>
      </w:r>
      <w:proofErr w:type="gramStart"/>
      <w:r w:rsidRPr="00277BEC">
        <w:rPr>
          <w:rFonts w:ascii="Arial" w:hAnsi="Arial" w:cs="Arial"/>
          <w:i/>
        </w:rPr>
        <w:t>Unit CAT algorithm – implemented</w:t>
      </w:r>
      <w:r w:rsidRPr="00277BEC">
        <w:rPr>
          <w:rFonts w:ascii="Arial" w:hAnsi="Arial" w:cs="Arial"/>
        </w:rPr>
        <w:t>.</w:t>
      </w:r>
      <w:proofErr w:type="gramEnd"/>
      <w:r w:rsidRPr="00277BEC">
        <w:rPr>
          <w:rFonts w:ascii="Arial" w:hAnsi="Arial" w:cs="Arial"/>
        </w:rPr>
        <w:t xml:space="preserve"> </w:t>
      </w:r>
      <w:proofErr w:type="gramStart"/>
      <w:r w:rsidRPr="00277BEC">
        <w:rPr>
          <w:rFonts w:ascii="Arial" w:hAnsi="Arial" w:cs="Arial"/>
        </w:rPr>
        <w:t>Internal Technical Report for the Assessment Tool.</w:t>
      </w:r>
      <w:proofErr w:type="gramEnd"/>
    </w:p>
    <w:p w14:paraId="3B03B73B" w14:textId="0B444C2B" w:rsidR="002136F3" w:rsidRPr="00277BEC" w:rsidRDefault="002136F3" w:rsidP="0017066D">
      <w:pPr>
        <w:spacing w:line="240" w:lineRule="auto"/>
        <w:ind w:left="482" w:hanging="482"/>
        <w:jc w:val="left"/>
        <w:rPr>
          <w:rFonts w:ascii="Arial" w:hAnsi="Arial" w:cs="Arial"/>
        </w:rPr>
      </w:pPr>
      <w:proofErr w:type="gramStart"/>
      <w:r w:rsidRPr="00277BEC">
        <w:rPr>
          <w:rFonts w:ascii="Arial" w:hAnsi="Arial" w:cs="Arial"/>
        </w:rPr>
        <w:t>NZCER (</w:t>
      </w:r>
      <w:r w:rsidR="008E09D2" w:rsidRPr="00277BEC">
        <w:rPr>
          <w:rFonts w:ascii="Arial" w:hAnsi="Arial" w:cs="Arial"/>
        </w:rPr>
        <w:t>2010a</w:t>
      </w:r>
      <w:r w:rsidRPr="00277BEC">
        <w:rPr>
          <w:rFonts w:ascii="Arial" w:hAnsi="Arial" w:cs="Arial"/>
        </w:rPr>
        <w:t>).</w:t>
      </w:r>
      <w:proofErr w:type="gramEnd"/>
      <w:r w:rsidRPr="00277BEC">
        <w:rPr>
          <w:rFonts w:ascii="Arial" w:hAnsi="Arial" w:cs="Arial"/>
        </w:rPr>
        <w:t xml:space="preserve"> </w:t>
      </w:r>
      <w:proofErr w:type="gramStart"/>
      <w:r w:rsidRPr="00277BEC">
        <w:rPr>
          <w:rFonts w:ascii="Arial" w:hAnsi="Arial" w:cs="Arial"/>
          <w:i/>
        </w:rPr>
        <w:t xml:space="preserve">Notes on equating international adult literacy and numeracy scales </w:t>
      </w:r>
      <w:proofErr w:type="spellStart"/>
      <w:r w:rsidRPr="00277BEC">
        <w:rPr>
          <w:rFonts w:ascii="Arial" w:hAnsi="Arial" w:cs="Arial"/>
          <w:i/>
        </w:rPr>
        <w:t>wit</w:t>
      </w:r>
      <w:proofErr w:type="spellEnd"/>
      <w:r w:rsidRPr="00277BEC">
        <w:rPr>
          <w:rFonts w:ascii="Arial" w:hAnsi="Arial" w:cs="Arial"/>
          <w:i/>
        </w:rPr>
        <w:t xml:space="preserve"> the New Zealand Literacy and Numeracy for Adults Assessment Tool</w:t>
      </w:r>
      <w:r w:rsidRPr="00277BEC">
        <w:rPr>
          <w:rFonts w:ascii="Arial" w:hAnsi="Arial" w:cs="Arial"/>
        </w:rPr>
        <w:t>.</w:t>
      </w:r>
      <w:proofErr w:type="gramEnd"/>
      <w:r w:rsidRPr="00277BEC">
        <w:rPr>
          <w:rFonts w:ascii="Arial" w:hAnsi="Arial" w:cs="Arial"/>
        </w:rPr>
        <w:t xml:space="preserve"> </w:t>
      </w:r>
      <w:proofErr w:type="gramStart"/>
      <w:r w:rsidRPr="00277BEC">
        <w:rPr>
          <w:rFonts w:ascii="Arial" w:hAnsi="Arial" w:cs="Arial"/>
        </w:rPr>
        <w:t>Technical report 1 for the Tertiary Education Commission.</w:t>
      </w:r>
      <w:proofErr w:type="gramEnd"/>
      <w:r w:rsidRPr="00277BEC">
        <w:rPr>
          <w:rFonts w:ascii="Arial" w:hAnsi="Arial" w:cs="Arial"/>
        </w:rPr>
        <w:t> </w:t>
      </w:r>
    </w:p>
    <w:p w14:paraId="48721D86" w14:textId="1120E0A4" w:rsidR="002136F3" w:rsidRPr="00277BEC" w:rsidRDefault="002136F3" w:rsidP="0017066D">
      <w:pPr>
        <w:spacing w:line="240" w:lineRule="auto"/>
        <w:ind w:left="482" w:hanging="482"/>
        <w:jc w:val="left"/>
        <w:rPr>
          <w:rFonts w:ascii="Arial" w:hAnsi="Arial" w:cs="Arial"/>
        </w:rPr>
      </w:pPr>
      <w:proofErr w:type="gramStart"/>
      <w:r w:rsidRPr="00277BEC">
        <w:rPr>
          <w:rFonts w:ascii="Arial" w:hAnsi="Arial" w:cs="Arial"/>
        </w:rPr>
        <w:t>NZCER (</w:t>
      </w:r>
      <w:r w:rsidR="002A3F35" w:rsidRPr="00277BEC">
        <w:rPr>
          <w:rFonts w:ascii="Arial" w:hAnsi="Arial" w:cs="Arial"/>
        </w:rPr>
        <w:t>2010b</w:t>
      </w:r>
      <w:r w:rsidRPr="00277BEC">
        <w:rPr>
          <w:rFonts w:ascii="Arial" w:hAnsi="Arial" w:cs="Arial"/>
        </w:rPr>
        <w:t>).</w:t>
      </w:r>
      <w:proofErr w:type="gramEnd"/>
      <w:r w:rsidRPr="00277BEC">
        <w:rPr>
          <w:rFonts w:ascii="Arial" w:hAnsi="Arial" w:cs="Arial"/>
        </w:rPr>
        <w:t xml:space="preserve"> </w:t>
      </w:r>
      <w:proofErr w:type="gramStart"/>
      <w:r w:rsidRPr="00277BEC">
        <w:rPr>
          <w:rFonts w:ascii="Arial" w:hAnsi="Arial" w:cs="Arial"/>
          <w:i/>
        </w:rPr>
        <w:t>ALL items in relation to Assessment Tool levels</w:t>
      </w:r>
      <w:r w:rsidRPr="00277BEC">
        <w:rPr>
          <w:rFonts w:ascii="Arial" w:hAnsi="Arial" w:cs="Arial"/>
        </w:rPr>
        <w:t>.</w:t>
      </w:r>
      <w:proofErr w:type="gramEnd"/>
      <w:r w:rsidRPr="00277BEC">
        <w:rPr>
          <w:rFonts w:ascii="Arial" w:hAnsi="Arial" w:cs="Arial"/>
        </w:rPr>
        <w:t xml:space="preserve"> </w:t>
      </w:r>
      <w:proofErr w:type="gramStart"/>
      <w:r w:rsidRPr="00277BEC">
        <w:rPr>
          <w:rFonts w:ascii="Arial" w:hAnsi="Arial" w:cs="Arial"/>
        </w:rPr>
        <w:t>Technical report 2 for the Tertiary Education Commission.</w:t>
      </w:r>
      <w:proofErr w:type="gramEnd"/>
      <w:r w:rsidRPr="00277BEC">
        <w:rPr>
          <w:rFonts w:ascii="Arial" w:hAnsi="Arial" w:cs="Arial"/>
        </w:rPr>
        <w:t> </w:t>
      </w:r>
    </w:p>
    <w:p w14:paraId="35213E61" w14:textId="5CE36C5A" w:rsidR="004D15A0" w:rsidRPr="00277BEC" w:rsidRDefault="006C6988" w:rsidP="0017066D">
      <w:pPr>
        <w:tabs>
          <w:tab w:val="left" w:pos="567"/>
        </w:tabs>
        <w:spacing w:line="240" w:lineRule="auto"/>
        <w:ind w:left="567" w:hanging="567"/>
        <w:jc w:val="left"/>
        <w:rPr>
          <w:rFonts w:ascii="Arial" w:hAnsi="Arial" w:cs="Arial"/>
        </w:rPr>
      </w:pPr>
      <w:proofErr w:type="gramStart"/>
      <w:r w:rsidRPr="00277BEC">
        <w:rPr>
          <w:rFonts w:ascii="Arial" w:hAnsi="Arial" w:cs="Arial"/>
        </w:rPr>
        <w:t>NZQA (</w:t>
      </w:r>
      <w:proofErr w:type="spellStart"/>
      <w:r w:rsidRPr="00277BEC">
        <w:rPr>
          <w:rFonts w:ascii="Arial" w:hAnsi="Arial" w:cs="Arial"/>
        </w:rPr>
        <w:t>n.d.</w:t>
      </w:r>
      <w:proofErr w:type="spellEnd"/>
      <w:r w:rsidR="004D15A0" w:rsidRPr="00277BEC">
        <w:rPr>
          <w:rFonts w:ascii="Arial" w:hAnsi="Arial" w:cs="Arial"/>
        </w:rPr>
        <w:t>).</w:t>
      </w:r>
      <w:proofErr w:type="gramEnd"/>
      <w:r w:rsidR="004D15A0" w:rsidRPr="00277BEC">
        <w:rPr>
          <w:rFonts w:ascii="Arial" w:hAnsi="Arial" w:cs="Arial"/>
        </w:rPr>
        <w:t xml:space="preserve"> </w:t>
      </w:r>
      <w:r w:rsidR="004D15A0" w:rsidRPr="00277BEC">
        <w:rPr>
          <w:rFonts w:ascii="Arial" w:hAnsi="Arial" w:cs="Arial"/>
          <w:i/>
        </w:rPr>
        <w:t>Level 1 literacy and numeracy requirements</w:t>
      </w:r>
      <w:r w:rsidR="004D15A0" w:rsidRPr="00277BEC">
        <w:rPr>
          <w:rFonts w:ascii="Arial" w:hAnsi="Arial" w:cs="Arial"/>
        </w:rPr>
        <w:t>. Retrieved May 5, 2014, from: http://www.nzqa.govt.nz/qualifications-standards/qualifications/ncea/subjects/literacy-and-numeracy/level-1-requirements/</w:t>
      </w:r>
    </w:p>
    <w:p w14:paraId="5762DF7C" w14:textId="77777777" w:rsidR="004D15A0" w:rsidRPr="00277BEC" w:rsidRDefault="006C6988" w:rsidP="0017066D">
      <w:pPr>
        <w:tabs>
          <w:tab w:val="left" w:pos="567"/>
        </w:tabs>
        <w:spacing w:line="240" w:lineRule="auto"/>
        <w:ind w:left="567" w:hanging="567"/>
        <w:jc w:val="left"/>
        <w:rPr>
          <w:rFonts w:ascii="Arial" w:hAnsi="Arial" w:cs="Arial"/>
        </w:rPr>
      </w:pPr>
      <w:proofErr w:type="gramStart"/>
      <w:r w:rsidRPr="00277BEC">
        <w:rPr>
          <w:rFonts w:ascii="Arial" w:hAnsi="Arial" w:cs="Arial"/>
        </w:rPr>
        <w:t>NZQA (</w:t>
      </w:r>
      <w:proofErr w:type="spellStart"/>
      <w:r w:rsidRPr="00277BEC">
        <w:rPr>
          <w:rFonts w:ascii="Arial" w:hAnsi="Arial" w:cs="Arial"/>
        </w:rPr>
        <w:t>n.d.a</w:t>
      </w:r>
      <w:proofErr w:type="spellEnd"/>
      <w:r w:rsidR="004D15A0" w:rsidRPr="00277BEC">
        <w:rPr>
          <w:rFonts w:ascii="Arial" w:hAnsi="Arial" w:cs="Arial"/>
        </w:rPr>
        <w:t>).</w:t>
      </w:r>
      <w:proofErr w:type="gramEnd"/>
      <w:r w:rsidR="004D15A0" w:rsidRPr="00277BEC">
        <w:rPr>
          <w:rFonts w:ascii="Arial" w:hAnsi="Arial" w:cs="Arial"/>
        </w:rPr>
        <w:t xml:space="preserve"> </w:t>
      </w:r>
      <w:proofErr w:type="gramStart"/>
      <w:r w:rsidR="004D15A0" w:rsidRPr="00277BEC">
        <w:rPr>
          <w:rFonts w:ascii="Arial" w:hAnsi="Arial" w:cs="Arial"/>
          <w:i/>
        </w:rPr>
        <w:t>Clarifications that apply to all Literacy and Numeracy unit standards</w:t>
      </w:r>
      <w:r w:rsidR="004D15A0" w:rsidRPr="00277BEC">
        <w:rPr>
          <w:rFonts w:ascii="Arial" w:hAnsi="Arial" w:cs="Arial"/>
        </w:rPr>
        <w:t>.</w:t>
      </w:r>
      <w:proofErr w:type="gramEnd"/>
      <w:r w:rsidR="004D15A0" w:rsidRPr="00277BEC">
        <w:rPr>
          <w:rFonts w:ascii="Arial" w:hAnsi="Arial" w:cs="Arial"/>
        </w:rPr>
        <w:t xml:space="preserve"> Retrieved 5 May, 2014, from: http://www.nzqa.govt.nz/qualifications-standards/qualifications/ncea/subjects/literacy-and-numeracy/literacy-and-numeracy-unit-standards/clarifications/all-literacy-and-numeracy-unit-standards/</w:t>
      </w:r>
    </w:p>
    <w:p w14:paraId="0724867F" w14:textId="77777777" w:rsidR="004D15A0" w:rsidRPr="00277BEC" w:rsidRDefault="006C6988" w:rsidP="0017066D">
      <w:pPr>
        <w:tabs>
          <w:tab w:val="left" w:pos="567"/>
        </w:tabs>
        <w:spacing w:line="240" w:lineRule="auto"/>
        <w:ind w:left="567" w:hanging="567"/>
        <w:jc w:val="left"/>
        <w:rPr>
          <w:rFonts w:ascii="Arial" w:hAnsi="Arial" w:cs="Arial"/>
        </w:rPr>
      </w:pPr>
      <w:proofErr w:type="gramStart"/>
      <w:r w:rsidRPr="00277BEC">
        <w:rPr>
          <w:rFonts w:ascii="Arial" w:hAnsi="Arial" w:cs="Arial"/>
        </w:rPr>
        <w:t>NZQA (</w:t>
      </w:r>
      <w:proofErr w:type="spellStart"/>
      <w:r w:rsidRPr="00277BEC">
        <w:rPr>
          <w:rFonts w:ascii="Arial" w:hAnsi="Arial" w:cs="Arial"/>
        </w:rPr>
        <w:t>n.d.b</w:t>
      </w:r>
      <w:proofErr w:type="spellEnd"/>
      <w:r w:rsidR="004D15A0" w:rsidRPr="00277BEC">
        <w:rPr>
          <w:rFonts w:ascii="Arial" w:hAnsi="Arial" w:cs="Arial"/>
        </w:rPr>
        <w:t>).</w:t>
      </w:r>
      <w:proofErr w:type="gramEnd"/>
      <w:r w:rsidR="004D15A0" w:rsidRPr="00277BEC">
        <w:rPr>
          <w:rFonts w:ascii="Arial" w:hAnsi="Arial" w:cs="Arial"/>
        </w:rPr>
        <w:t xml:space="preserve"> </w:t>
      </w:r>
      <w:proofErr w:type="gramStart"/>
      <w:r w:rsidR="004D15A0" w:rsidRPr="00277BEC">
        <w:rPr>
          <w:rFonts w:ascii="Arial" w:hAnsi="Arial" w:cs="Arial"/>
          <w:i/>
        </w:rPr>
        <w:t>Background to the development of the Literacy and Numeracy unit standards.</w:t>
      </w:r>
      <w:proofErr w:type="gramEnd"/>
      <w:r w:rsidR="004D15A0" w:rsidRPr="00277BEC">
        <w:rPr>
          <w:rFonts w:ascii="Arial" w:hAnsi="Arial" w:cs="Arial"/>
        </w:rPr>
        <w:t xml:space="preserve"> Retrieved 5 May, 2014, from: http://www.nzqa.govt.nz/qualifications-standards/qualifications/ncea/subjects/literacy-and-numeracy/literacy-and-numeracy-unit-standards/background-to-literacy-and-numeracy-standards/ </w:t>
      </w:r>
    </w:p>
    <w:p w14:paraId="69321B5C" w14:textId="7C9F9A3F" w:rsidR="00F53BE1" w:rsidRPr="00277BEC" w:rsidRDefault="00F53BE1" w:rsidP="0017066D">
      <w:pPr>
        <w:tabs>
          <w:tab w:val="left" w:pos="567"/>
        </w:tabs>
        <w:spacing w:line="240" w:lineRule="auto"/>
        <w:ind w:left="567" w:hanging="567"/>
        <w:jc w:val="left"/>
        <w:rPr>
          <w:rFonts w:ascii="Arial" w:hAnsi="Arial" w:cs="Arial"/>
        </w:rPr>
      </w:pPr>
      <w:proofErr w:type="gramStart"/>
      <w:r w:rsidRPr="00277BEC">
        <w:rPr>
          <w:rFonts w:ascii="Arial" w:hAnsi="Arial" w:cs="Arial"/>
        </w:rPr>
        <w:t>NZQA (2011).</w:t>
      </w:r>
      <w:proofErr w:type="gramEnd"/>
      <w:r w:rsidRPr="00277BEC">
        <w:rPr>
          <w:rFonts w:ascii="Arial" w:hAnsi="Arial" w:cs="Arial"/>
        </w:rPr>
        <w:t xml:space="preserve"> </w:t>
      </w:r>
      <w:proofErr w:type="gramStart"/>
      <w:r w:rsidRPr="00277BEC">
        <w:rPr>
          <w:rFonts w:ascii="Arial" w:hAnsi="Arial" w:cs="Arial"/>
        </w:rPr>
        <w:t>Guidelines for assessing Level 1 Literacy and Numeracy unit standards.</w:t>
      </w:r>
      <w:proofErr w:type="gramEnd"/>
      <w:r w:rsidRPr="00277BEC">
        <w:rPr>
          <w:rFonts w:ascii="Arial" w:hAnsi="Arial" w:cs="Arial"/>
        </w:rPr>
        <w:t xml:space="preserve"> Retrieved 18 August, 2014, from: </w:t>
      </w:r>
      <w:r w:rsidRPr="00277BEC">
        <w:rPr>
          <w:rFonts w:ascii="Arial" w:hAnsi="Arial" w:cs="Arial"/>
        </w:rPr>
        <w:lastRenderedPageBreak/>
        <w:t>http://www.nzqa.govt.nz/assets/qualifications-and-standards/qualifications/ncea/NCEA-subject-resources/Literacy-and-Numeracy/Resources/Planning-implementation-and-assessement/Guidelines-for-assessing-Literacy-and-Numeracy-unit-standardsJan13.pdf</w:t>
      </w:r>
    </w:p>
    <w:p w14:paraId="7FEFF4CA" w14:textId="77777777" w:rsidR="00BB58A7" w:rsidRPr="00277BEC" w:rsidRDefault="00BB58A7" w:rsidP="0017066D">
      <w:pPr>
        <w:pStyle w:val="NormalWeb"/>
        <w:tabs>
          <w:tab w:val="left" w:pos="567"/>
        </w:tabs>
        <w:spacing w:beforeLines="0" w:afterLines="0"/>
        <w:ind w:left="567" w:hanging="567"/>
        <w:jc w:val="left"/>
        <w:rPr>
          <w:rFonts w:ascii="Arial" w:hAnsi="Arial" w:cs="Arial"/>
          <w:sz w:val="22"/>
          <w:szCs w:val="24"/>
          <w:lang w:val="en-US"/>
        </w:rPr>
      </w:pPr>
      <w:proofErr w:type="spellStart"/>
      <w:proofErr w:type="gramStart"/>
      <w:r w:rsidRPr="00277BEC">
        <w:rPr>
          <w:rFonts w:ascii="Arial" w:hAnsi="Arial" w:cs="Arial"/>
          <w:sz w:val="22"/>
          <w:szCs w:val="24"/>
          <w:lang w:val="en-US"/>
        </w:rPr>
        <w:t>Rasch</w:t>
      </w:r>
      <w:proofErr w:type="spellEnd"/>
      <w:r w:rsidRPr="00277BEC">
        <w:rPr>
          <w:rFonts w:ascii="Arial" w:hAnsi="Arial" w:cs="Arial"/>
          <w:sz w:val="22"/>
          <w:szCs w:val="24"/>
          <w:lang w:val="en-US"/>
        </w:rPr>
        <w:t>, G. (1960/1980).</w:t>
      </w:r>
      <w:proofErr w:type="gramEnd"/>
      <w:r w:rsidRPr="00277BEC">
        <w:rPr>
          <w:rFonts w:ascii="Arial" w:hAnsi="Arial" w:cs="Arial"/>
          <w:sz w:val="22"/>
          <w:szCs w:val="24"/>
          <w:lang w:val="en-US"/>
        </w:rPr>
        <w:t xml:space="preserve"> </w:t>
      </w:r>
      <w:r w:rsidRPr="00277BEC">
        <w:rPr>
          <w:rFonts w:ascii="Arial" w:hAnsi="Arial" w:cs="Arial"/>
          <w:i/>
          <w:iCs/>
          <w:sz w:val="22"/>
          <w:szCs w:val="24"/>
          <w:lang w:val="en-US"/>
        </w:rPr>
        <w:t>Probabilistic models for some intelligence and attainment tests</w:t>
      </w:r>
      <w:r w:rsidRPr="00277BEC">
        <w:rPr>
          <w:rFonts w:ascii="Arial" w:hAnsi="Arial" w:cs="Arial"/>
          <w:sz w:val="22"/>
          <w:szCs w:val="24"/>
          <w:lang w:val="en-US"/>
        </w:rPr>
        <w:t xml:space="preserve">. </w:t>
      </w:r>
      <w:proofErr w:type="gramStart"/>
      <w:r w:rsidRPr="00277BEC">
        <w:rPr>
          <w:rFonts w:ascii="Arial" w:hAnsi="Arial" w:cs="Arial"/>
          <w:sz w:val="22"/>
          <w:szCs w:val="24"/>
          <w:lang w:val="en-US"/>
        </w:rPr>
        <w:t>(Copenhagen, Danish Institute for Educational Research), expanded edition (1980) with foreword and afterword by B.D. Wright.</w:t>
      </w:r>
      <w:proofErr w:type="gramEnd"/>
      <w:r w:rsidRPr="00277BEC">
        <w:rPr>
          <w:rFonts w:ascii="Arial" w:hAnsi="Arial" w:cs="Arial"/>
          <w:sz w:val="22"/>
          <w:szCs w:val="24"/>
          <w:lang w:val="en-US"/>
        </w:rPr>
        <w:t xml:space="preserve"> Chicago: The University of Chicago Press.</w:t>
      </w:r>
    </w:p>
    <w:p w14:paraId="338EF87F" w14:textId="77777777" w:rsidR="00660533" w:rsidRPr="00277BEC" w:rsidRDefault="008F0E63" w:rsidP="0017066D">
      <w:pPr>
        <w:pStyle w:val="NormalWeb"/>
        <w:tabs>
          <w:tab w:val="left" w:pos="567"/>
        </w:tabs>
        <w:spacing w:before="2" w:afterLines="0"/>
        <w:ind w:left="567" w:hanging="567"/>
        <w:jc w:val="left"/>
        <w:rPr>
          <w:rFonts w:ascii="Arial" w:hAnsi="Arial" w:cs="Arial"/>
          <w:sz w:val="22"/>
          <w:szCs w:val="24"/>
          <w:lang w:val="en-US"/>
        </w:rPr>
      </w:pPr>
      <w:proofErr w:type="spellStart"/>
      <w:r w:rsidRPr="00277BEC">
        <w:rPr>
          <w:rFonts w:ascii="Arial" w:hAnsi="Arial" w:cs="Arial"/>
          <w:sz w:val="22"/>
          <w:szCs w:val="24"/>
          <w:lang w:val="en-US"/>
        </w:rPr>
        <w:t>Samejima</w:t>
      </w:r>
      <w:proofErr w:type="spellEnd"/>
      <w:r w:rsidRPr="00277BEC">
        <w:rPr>
          <w:rFonts w:ascii="Arial" w:hAnsi="Arial" w:cs="Arial"/>
          <w:sz w:val="22"/>
          <w:szCs w:val="24"/>
          <w:lang w:val="en-US"/>
        </w:rPr>
        <w:t xml:space="preserve">, F. 1969. </w:t>
      </w:r>
      <w:proofErr w:type="gramStart"/>
      <w:r w:rsidRPr="00277BEC">
        <w:rPr>
          <w:rFonts w:ascii="Arial" w:hAnsi="Arial" w:cs="Arial"/>
          <w:sz w:val="22"/>
          <w:szCs w:val="24"/>
          <w:lang w:val="en-US"/>
        </w:rPr>
        <w:t>“Estimation of a Latent Ability Using a Response Pattern of Graded Scores.”</w:t>
      </w:r>
      <w:proofErr w:type="gramEnd"/>
      <w:r w:rsidRPr="00277BEC">
        <w:rPr>
          <w:rFonts w:ascii="Arial" w:hAnsi="Arial" w:cs="Arial"/>
          <w:sz w:val="22"/>
          <w:szCs w:val="24"/>
          <w:lang w:val="en-US"/>
        </w:rPr>
        <w:t xml:space="preserve"> </w:t>
      </w:r>
      <w:proofErr w:type="spellStart"/>
      <w:proofErr w:type="gramStart"/>
      <w:r w:rsidRPr="00277BEC">
        <w:rPr>
          <w:rFonts w:ascii="Arial" w:hAnsi="Arial" w:cs="Arial"/>
          <w:i/>
          <w:iCs/>
          <w:sz w:val="22"/>
          <w:szCs w:val="24"/>
          <w:lang w:val="en-US"/>
        </w:rPr>
        <w:t>Psychometrika</w:t>
      </w:r>
      <w:proofErr w:type="spellEnd"/>
      <w:r w:rsidRPr="00277BEC">
        <w:rPr>
          <w:rFonts w:ascii="Arial" w:hAnsi="Arial" w:cs="Arial"/>
          <w:i/>
          <w:iCs/>
          <w:sz w:val="22"/>
          <w:szCs w:val="24"/>
          <w:lang w:val="en-US"/>
        </w:rPr>
        <w:t xml:space="preserve"> Monograph Supplement</w:t>
      </w:r>
      <w:r w:rsidRPr="00277BEC">
        <w:rPr>
          <w:rFonts w:ascii="Arial" w:hAnsi="Arial" w:cs="Arial"/>
          <w:sz w:val="22"/>
          <w:szCs w:val="24"/>
          <w:lang w:val="en-US"/>
        </w:rPr>
        <w:t xml:space="preserve"> 17.</w:t>
      </w:r>
      <w:proofErr w:type="gramEnd"/>
    </w:p>
    <w:p w14:paraId="0EDFF795" w14:textId="77777777" w:rsidR="006C6988" w:rsidRPr="00277BEC" w:rsidRDefault="006C6988" w:rsidP="0017066D">
      <w:pPr>
        <w:pStyle w:val="NormalWeb"/>
        <w:tabs>
          <w:tab w:val="left" w:pos="567"/>
        </w:tabs>
        <w:spacing w:beforeLines="0" w:afterLines="0"/>
        <w:ind w:left="567" w:hanging="567"/>
        <w:jc w:val="left"/>
        <w:rPr>
          <w:rFonts w:ascii="Arial" w:hAnsi="Arial" w:cs="Arial"/>
          <w:noProof/>
          <w:sz w:val="22"/>
        </w:rPr>
      </w:pPr>
      <w:r w:rsidRPr="00277BEC">
        <w:rPr>
          <w:rFonts w:ascii="Arial" w:hAnsi="Arial" w:cs="Arial"/>
          <w:noProof/>
          <w:sz w:val="22"/>
        </w:rPr>
        <w:t xml:space="preserve">Satherley, P., Lawes, E., &amp; Sok, S. (2008). </w:t>
      </w:r>
      <w:r w:rsidRPr="00277BEC">
        <w:rPr>
          <w:rFonts w:ascii="Arial" w:hAnsi="Arial" w:cs="Arial"/>
          <w:i/>
          <w:noProof/>
          <w:sz w:val="22"/>
        </w:rPr>
        <w:t>The Adult Literacy and Life Skills (ALL) Survey: Education, work and literacy.</w:t>
      </w:r>
      <w:r w:rsidRPr="00277BEC">
        <w:rPr>
          <w:rFonts w:ascii="Arial" w:hAnsi="Arial" w:cs="Arial"/>
          <w:noProof/>
          <w:sz w:val="22"/>
        </w:rPr>
        <w:t xml:space="preserve"> Wellington.</w:t>
      </w:r>
    </w:p>
    <w:p w14:paraId="4129C1A1" w14:textId="77777777" w:rsidR="00626F60" w:rsidRPr="00277BEC" w:rsidRDefault="00626F60" w:rsidP="0017066D">
      <w:pPr>
        <w:pStyle w:val="NormalWeb"/>
        <w:tabs>
          <w:tab w:val="left" w:pos="567"/>
        </w:tabs>
        <w:spacing w:beforeLines="0" w:afterLines="0"/>
        <w:ind w:left="567" w:hanging="567"/>
        <w:jc w:val="left"/>
        <w:rPr>
          <w:rFonts w:ascii="Arial" w:hAnsi="Arial" w:cs="Arial"/>
          <w:noProof/>
          <w:sz w:val="22"/>
        </w:rPr>
      </w:pPr>
      <w:r w:rsidRPr="00277BEC">
        <w:rPr>
          <w:rFonts w:ascii="Arial" w:hAnsi="Arial" w:cs="Arial"/>
          <w:noProof/>
          <w:sz w:val="22"/>
        </w:rPr>
        <w:t>Satherley, P., Lawes, E., &amp; Sok, S. (2008</w:t>
      </w:r>
      <w:r w:rsidR="006C6988" w:rsidRPr="00277BEC">
        <w:rPr>
          <w:rFonts w:ascii="Arial" w:hAnsi="Arial" w:cs="Arial"/>
          <w:noProof/>
          <w:sz w:val="22"/>
        </w:rPr>
        <w:t>a</w:t>
      </w:r>
      <w:r w:rsidRPr="00277BEC">
        <w:rPr>
          <w:rFonts w:ascii="Arial" w:hAnsi="Arial" w:cs="Arial"/>
          <w:noProof/>
          <w:sz w:val="22"/>
        </w:rPr>
        <w:t xml:space="preserve">). </w:t>
      </w:r>
      <w:r w:rsidRPr="00277BEC">
        <w:rPr>
          <w:rFonts w:ascii="Arial" w:hAnsi="Arial" w:cs="Arial"/>
          <w:i/>
          <w:iCs/>
          <w:noProof/>
          <w:sz w:val="22"/>
        </w:rPr>
        <w:t>The Adult Literacy and Life Skills (ALL) Survey: overview and international comparisons</w:t>
      </w:r>
      <w:r w:rsidRPr="00277BEC">
        <w:rPr>
          <w:rFonts w:ascii="Arial" w:hAnsi="Arial" w:cs="Arial"/>
          <w:noProof/>
          <w:sz w:val="22"/>
        </w:rPr>
        <w:t>. Wellington.</w:t>
      </w:r>
    </w:p>
    <w:p w14:paraId="3AE80DFE" w14:textId="5D68CE3E" w:rsidR="00626F60" w:rsidRPr="00277BEC" w:rsidRDefault="00626F60" w:rsidP="0017066D">
      <w:pPr>
        <w:pStyle w:val="NormalWeb"/>
        <w:tabs>
          <w:tab w:val="left" w:pos="567"/>
        </w:tabs>
        <w:spacing w:beforeLines="0" w:afterLines="0"/>
        <w:ind w:left="567" w:hanging="567"/>
        <w:jc w:val="left"/>
        <w:rPr>
          <w:rFonts w:ascii="Arial" w:hAnsi="Arial" w:cs="Arial"/>
          <w:noProof/>
          <w:sz w:val="22"/>
        </w:rPr>
      </w:pPr>
      <w:r w:rsidRPr="00277BEC">
        <w:rPr>
          <w:rFonts w:ascii="Arial" w:hAnsi="Arial" w:cs="Arial"/>
          <w:noProof/>
          <w:sz w:val="22"/>
        </w:rPr>
        <w:t xml:space="preserve">Statistics Canada, &amp; Organisation for Economic Cooperation and Development. (2005). </w:t>
      </w:r>
      <w:r w:rsidRPr="00277BEC">
        <w:rPr>
          <w:rFonts w:ascii="Arial" w:hAnsi="Arial" w:cs="Arial"/>
          <w:i/>
          <w:iCs/>
          <w:noProof/>
          <w:sz w:val="22"/>
        </w:rPr>
        <w:t>Learning a Living: first results of the adult literacy and life skills survey</w:t>
      </w:r>
      <w:r w:rsidRPr="00277BEC">
        <w:rPr>
          <w:rFonts w:ascii="Arial" w:hAnsi="Arial" w:cs="Arial"/>
          <w:noProof/>
          <w:sz w:val="22"/>
        </w:rPr>
        <w:t>. Ottawa and Paris.</w:t>
      </w:r>
    </w:p>
    <w:p w14:paraId="736D9C84" w14:textId="1EE8B373" w:rsidR="00626F60" w:rsidRPr="00277BEC" w:rsidRDefault="00626F60" w:rsidP="0017066D">
      <w:pPr>
        <w:pStyle w:val="NormalWeb"/>
        <w:tabs>
          <w:tab w:val="left" w:pos="567"/>
        </w:tabs>
        <w:spacing w:beforeLines="0" w:afterLines="0"/>
        <w:ind w:left="567" w:hanging="567"/>
        <w:jc w:val="left"/>
        <w:rPr>
          <w:rFonts w:ascii="Arial" w:hAnsi="Arial" w:cs="Arial"/>
          <w:noProof/>
          <w:sz w:val="22"/>
        </w:rPr>
      </w:pPr>
      <w:r w:rsidRPr="00277BEC">
        <w:rPr>
          <w:rFonts w:ascii="Arial" w:hAnsi="Arial" w:cs="Arial"/>
          <w:noProof/>
          <w:sz w:val="22"/>
        </w:rPr>
        <w:t>Terti</w:t>
      </w:r>
      <w:r w:rsidR="003D0ED3" w:rsidRPr="00277BEC">
        <w:rPr>
          <w:rFonts w:ascii="Arial" w:hAnsi="Arial" w:cs="Arial"/>
          <w:noProof/>
          <w:sz w:val="22"/>
        </w:rPr>
        <w:t>ary Education Commission (2008</w:t>
      </w:r>
      <w:r w:rsidRPr="00277BEC">
        <w:rPr>
          <w:rFonts w:ascii="Arial" w:hAnsi="Arial" w:cs="Arial"/>
          <w:noProof/>
          <w:sz w:val="22"/>
        </w:rPr>
        <w:t xml:space="preserve">). </w:t>
      </w:r>
      <w:r w:rsidRPr="00277BEC">
        <w:rPr>
          <w:rFonts w:ascii="Arial" w:hAnsi="Arial" w:cs="Arial"/>
          <w:i/>
          <w:iCs/>
          <w:noProof/>
          <w:sz w:val="22"/>
        </w:rPr>
        <w:t>Learning progressions for adult literacy and numeracy: background information</w:t>
      </w:r>
      <w:r w:rsidRPr="00277BEC">
        <w:rPr>
          <w:rFonts w:ascii="Arial" w:hAnsi="Arial" w:cs="Arial"/>
          <w:noProof/>
          <w:sz w:val="22"/>
        </w:rPr>
        <w:t>. Wellington.</w:t>
      </w:r>
    </w:p>
    <w:p w14:paraId="4F1A6C96" w14:textId="18BCFC63" w:rsidR="0078187A" w:rsidRPr="00277BEC" w:rsidRDefault="0078187A" w:rsidP="0017066D">
      <w:pPr>
        <w:jc w:val="left"/>
        <w:rPr>
          <w:rFonts w:ascii="Arial" w:hAnsi="Arial" w:cs="Arial"/>
        </w:rPr>
      </w:pPr>
    </w:p>
    <w:sectPr w:rsidR="0078187A" w:rsidRPr="00277BEC" w:rsidSect="00B314CB">
      <w:pgSz w:w="11900" w:h="16840"/>
      <w:pgMar w:top="567" w:right="1695"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AE8C7" w14:textId="77777777" w:rsidR="00EB7ADF" w:rsidRDefault="00EB7ADF" w:rsidP="00430F68">
      <w:r>
        <w:separator/>
      </w:r>
    </w:p>
    <w:p w14:paraId="7540DFE6" w14:textId="77777777" w:rsidR="00EB7ADF" w:rsidRDefault="00EB7ADF"/>
    <w:p w14:paraId="54DA70F1" w14:textId="77777777" w:rsidR="00EB7ADF" w:rsidRDefault="00EB7ADF"/>
  </w:endnote>
  <w:endnote w:type="continuationSeparator" w:id="0">
    <w:p w14:paraId="34B5F985" w14:textId="77777777" w:rsidR="00EB7ADF" w:rsidRDefault="00EB7ADF" w:rsidP="00430F68">
      <w:r>
        <w:continuationSeparator/>
      </w:r>
    </w:p>
    <w:p w14:paraId="443226D4" w14:textId="77777777" w:rsidR="00EB7ADF" w:rsidRDefault="00EB7ADF"/>
    <w:p w14:paraId="53085FBE" w14:textId="77777777" w:rsidR="00EB7ADF" w:rsidRDefault="00EB7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Palatino">
    <w:charset w:val="00"/>
    <w:family w:val="auto"/>
    <w:pitch w:val="variable"/>
    <w:sig w:usb0="A00002FF" w:usb1="7800205A" w:usb2="14600000" w:usb3="00000000" w:csb0="00000193"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 New Roman Mäori">
    <w:altName w:val="Times New Roman"/>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14C" w14:textId="77777777" w:rsidR="000C0266" w:rsidRDefault="000C0266" w:rsidP="009962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3725BA" w14:textId="77777777" w:rsidR="000C0266" w:rsidRDefault="000C0266" w:rsidP="00430F68">
    <w:pPr>
      <w:pStyle w:val="Footer"/>
      <w:ind w:right="360"/>
      <w:rPr>
        <w:rStyle w:val="PageNumber"/>
      </w:rPr>
    </w:pPr>
  </w:p>
  <w:p w14:paraId="62AF3798" w14:textId="77777777" w:rsidR="000C0266" w:rsidRDefault="000C0266" w:rsidP="00430F68">
    <w:pPr>
      <w:pStyle w:val="Footer"/>
    </w:pPr>
  </w:p>
  <w:p w14:paraId="76F4B90D" w14:textId="77777777" w:rsidR="000C0266" w:rsidRDefault="000C02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D3B6A" w14:textId="77777777" w:rsidR="000C0266" w:rsidRDefault="000C0266" w:rsidP="008F0E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4B4D">
      <w:rPr>
        <w:rStyle w:val="PageNumber"/>
        <w:noProof/>
      </w:rPr>
      <w:t>40</w:t>
    </w:r>
    <w:r>
      <w:rPr>
        <w:rStyle w:val="PageNumber"/>
      </w:rPr>
      <w:fldChar w:fldCharType="end"/>
    </w:r>
  </w:p>
  <w:p w14:paraId="7780E7E2" w14:textId="77777777" w:rsidR="000C0266" w:rsidRDefault="000C0266" w:rsidP="00B314CB">
    <w:pPr>
      <w:tabs>
        <w:tab w:val="left" w:pos="25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9C14F" w14:textId="77777777" w:rsidR="00EB7ADF" w:rsidRDefault="00EB7ADF">
      <w:r>
        <w:separator/>
      </w:r>
    </w:p>
  </w:footnote>
  <w:footnote w:type="continuationSeparator" w:id="0">
    <w:p w14:paraId="44B4C4D9" w14:textId="77777777" w:rsidR="00EB7ADF" w:rsidRDefault="00EB7ADF" w:rsidP="00430F68">
      <w:r>
        <w:continuationSeparator/>
      </w:r>
    </w:p>
    <w:p w14:paraId="65F09883" w14:textId="77777777" w:rsidR="00EB7ADF" w:rsidRDefault="00EB7ADF"/>
    <w:p w14:paraId="5A17D811" w14:textId="77777777" w:rsidR="00EB7ADF" w:rsidRDefault="00EB7ADF"/>
  </w:footnote>
  <w:footnote w:id="1">
    <w:p w14:paraId="05B8A2CD" w14:textId="77777777" w:rsidR="000C0266" w:rsidRPr="00953A79" w:rsidRDefault="000C0266" w:rsidP="0008079A">
      <w:pPr>
        <w:ind w:left="360"/>
      </w:pPr>
      <w:r>
        <w:rPr>
          <w:rStyle w:val="FootnoteReference"/>
        </w:rPr>
        <w:footnoteRef/>
      </w:r>
      <w:r>
        <w:t xml:space="preserve"> </w:t>
      </w:r>
      <w:r w:rsidRPr="004B4F59">
        <w:rPr>
          <w:rFonts w:ascii="Arial" w:hAnsi="Arial" w:cs="Arial"/>
          <w:sz w:val="18"/>
          <w:szCs w:val="18"/>
        </w:rPr>
        <w:t>This sample included 364 Trades Academy students</w:t>
      </w:r>
      <w:r>
        <w:t xml:space="preserve">. </w:t>
      </w:r>
    </w:p>
    <w:p w14:paraId="174A4D5F" w14:textId="77777777" w:rsidR="000C0266" w:rsidRPr="0008079A" w:rsidRDefault="000C0266">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1E93D" w14:textId="77777777" w:rsidR="000C0266" w:rsidRDefault="003F4B4D" w:rsidP="00430F68">
    <w:pPr>
      <w:pStyle w:val="Header"/>
    </w:pPr>
    <w:r>
      <w:rPr>
        <w:noProof/>
      </w:rPr>
      <w:pict w14:anchorId="034B9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15pt;height:103.75pt;z-index:-251658752;mso-wrap-edited:f;mso-position-horizontal:center;mso-position-horizontal-relative:margin;mso-position-vertical:center;mso-position-vertical-relative:margin" wrapcoords="1054 4539 820 4852 429 6417 429 7043 117 9547 390 11895 429 14556 156 17060 156 17373 21326 17373 21521 17060 21600 16591 21600 15965 20818 14556 20818 11895 21600 9704 21600 9078 21404 8452 20779 7043 20232 4695 20193 4539 1054 4539" fillcolor="black" stroked="f">
          <v:fill opacity="34078f"/>
          <v:textpath style="font-family:&quot;Cambria&quot;;font-size:1pt" string="final draft"/>
          <w10:wrap anchorx="margin" anchory="margin"/>
        </v:shape>
      </w:pict>
    </w:r>
  </w:p>
  <w:p w14:paraId="115D8123" w14:textId="77777777" w:rsidR="000C0266" w:rsidRDefault="000C02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E3D7F" w14:textId="77777777" w:rsidR="000C0266" w:rsidRDefault="000C0266">
    <w:pPr>
      <w:pStyle w:val="Header"/>
    </w:pPr>
  </w:p>
  <w:p w14:paraId="3A2C2B13" w14:textId="77777777" w:rsidR="000C0266" w:rsidRDefault="000C02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77C74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FE690F6"/>
    <w:lvl w:ilvl="0">
      <w:start w:val="1"/>
      <w:numFmt w:val="decimal"/>
      <w:lvlText w:val="%1."/>
      <w:lvlJc w:val="left"/>
      <w:pPr>
        <w:tabs>
          <w:tab w:val="num" w:pos="1492"/>
        </w:tabs>
        <w:ind w:left="1492" w:hanging="360"/>
      </w:pPr>
    </w:lvl>
  </w:abstractNum>
  <w:abstractNum w:abstractNumId="2">
    <w:nsid w:val="FFFFFF7D"/>
    <w:multiLevelType w:val="singleLevel"/>
    <w:tmpl w:val="FAEE1486"/>
    <w:lvl w:ilvl="0">
      <w:start w:val="1"/>
      <w:numFmt w:val="decimal"/>
      <w:lvlText w:val="%1."/>
      <w:lvlJc w:val="left"/>
      <w:pPr>
        <w:tabs>
          <w:tab w:val="num" w:pos="1209"/>
        </w:tabs>
        <w:ind w:left="1209" w:hanging="360"/>
      </w:pPr>
    </w:lvl>
  </w:abstractNum>
  <w:abstractNum w:abstractNumId="3">
    <w:nsid w:val="FFFFFF7E"/>
    <w:multiLevelType w:val="singleLevel"/>
    <w:tmpl w:val="60B8CB08"/>
    <w:lvl w:ilvl="0">
      <w:start w:val="1"/>
      <w:numFmt w:val="decimal"/>
      <w:lvlText w:val="%1."/>
      <w:lvlJc w:val="left"/>
      <w:pPr>
        <w:tabs>
          <w:tab w:val="num" w:pos="926"/>
        </w:tabs>
        <w:ind w:left="926" w:hanging="360"/>
      </w:pPr>
    </w:lvl>
  </w:abstractNum>
  <w:abstractNum w:abstractNumId="4">
    <w:nsid w:val="FFFFFF7F"/>
    <w:multiLevelType w:val="singleLevel"/>
    <w:tmpl w:val="4938412A"/>
    <w:lvl w:ilvl="0">
      <w:start w:val="1"/>
      <w:numFmt w:val="decimal"/>
      <w:lvlText w:val="%1."/>
      <w:lvlJc w:val="left"/>
      <w:pPr>
        <w:tabs>
          <w:tab w:val="num" w:pos="643"/>
        </w:tabs>
        <w:ind w:left="643" w:hanging="360"/>
      </w:pPr>
    </w:lvl>
  </w:abstractNum>
  <w:abstractNum w:abstractNumId="5">
    <w:nsid w:val="FFFFFF80"/>
    <w:multiLevelType w:val="singleLevel"/>
    <w:tmpl w:val="E4E6CAF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4721A0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DE426A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07C936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35C89CE"/>
    <w:lvl w:ilvl="0">
      <w:start w:val="1"/>
      <w:numFmt w:val="decimal"/>
      <w:lvlText w:val="%1."/>
      <w:lvlJc w:val="left"/>
      <w:pPr>
        <w:tabs>
          <w:tab w:val="num" w:pos="360"/>
        </w:tabs>
        <w:ind w:left="360" w:hanging="360"/>
      </w:pPr>
    </w:lvl>
  </w:abstractNum>
  <w:abstractNum w:abstractNumId="10">
    <w:nsid w:val="021C10C9"/>
    <w:multiLevelType w:val="hybridMultilevel"/>
    <w:tmpl w:val="5B8C849E"/>
    <w:lvl w:ilvl="0" w:tplc="FE06C07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BD1AE8"/>
    <w:multiLevelType w:val="hybridMultilevel"/>
    <w:tmpl w:val="D070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B0058F"/>
    <w:multiLevelType w:val="singleLevel"/>
    <w:tmpl w:val="0B5044FE"/>
    <w:lvl w:ilvl="0">
      <w:start w:val="1"/>
      <w:numFmt w:val="bullet"/>
      <w:pStyle w:val="Bullet"/>
      <w:lvlText w:val=""/>
      <w:lvlJc w:val="left"/>
      <w:pPr>
        <w:tabs>
          <w:tab w:val="num" w:pos="360"/>
        </w:tabs>
        <w:ind w:left="284" w:hanging="284"/>
      </w:pPr>
      <w:rPr>
        <w:rFonts w:ascii="Wingdings" w:hAnsi="Wingdings" w:hint="default"/>
      </w:rPr>
    </w:lvl>
  </w:abstractNum>
  <w:abstractNum w:abstractNumId="13">
    <w:nsid w:val="20C55A2C"/>
    <w:multiLevelType w:val="multilevel"/>
    <w:tmpl w:val="B1580D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2F156505"/>
    <w:multiLevelType w:val="hybridMultilevel"/>
    <w:tmpl w:val="9056BC50"/>
    <w:lvl w:ilvl="0" w:tplc="90DE1C7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AD3D5E"/>
    <w:multiLevelType w:val="hybridMultilevel"/>
    <w:tmpl w:val="FC586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4A6C43"/>
    <w:multiLevelType w:val="hybridMultilevel"/>
    <w:tmpl w:val="4208A244"/>
    <w:lvl w:ilvl="0" w:tplc="0EAE6D36">
      <w:start w:val="5"/>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49D35629"/>
    <w:multiLevelType w:val="hybridMultilevel"/>
    <w:tmpl w:val="620E1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03260CA"/>
    <w:multiLevelType w:val="hybridMultilevel"/>
    <w:tmpl w:val="82080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442A39"/>
    <w:multiLevelType w:val="hybridMultilevel"/>
    <w:tmpl w:val="08342B50"/>
    <w:lvl w:ilvl="0" w:tplc="0EAE6D3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2450E6"/>
    <w:multiLevelType w:val="hybridMultilevel"/>
    <w:tmpl w:val="860E3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009798C"/>
    <w:multiLevelType w:val="hybridMultilevel"/>
    <w:tmpl w:val="DFDECE36"/>
    <w:lvl w:ilvl="0" w:tplc="39B65B2C">
      <w:start w:val="1"/>
      <w:numFmt w:val="bullet"/>
      <w:pStyle w:val="List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046575"/>
    <w:multiLevelType w:val="multilevel"/>
    <w:tmpl w:val="B1580D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6B5F6D53"/>
    <w:multiLevelType w:val="hybridMultilevel"/>
    <w:tmpl w:val="AE104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DD761B"/>
    <w:multiLevelType w:val="multilevel"/>
    <w:tmpl w:val="ED6A9488"/>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709"/>
        </w:tabs>
        <w:ind w:left="709" w:hanging="567"/>
      </w:pPr>
      <w:rPr>
        <w:rFonts w:hint="default"/>
        <w:b w:val="0"/>
        <w:i w:val="0"/>
        <w:sz w:val="28"/>
      </w:rPr>
    </w:lvl>
    <w:lvl w:ilvl="2">
      <w:start w:val="1"/>
      <w:numFmt w:val="decimal"/>
      <w:lvlRestart w:val="1"/>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5">
    <w:nsid w:val="72FE4FA0"/>
    <w:multiLevelType w:val="multilevel"/>
    <w:tmpl w:val="DFDECE36"/>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3DD3D95"/>
    <w:multiLevelType w:val="multilevel"/>
    <w:tmpl w:val="08342B50"/>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C115F59"/>
    <w:multiLevelType w:val="hybridMultilevel"/>
    <w:tmpl w:val="82080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9E5210"/>
    <w:multiLevelType w:val="multilevel"/>
    <w:tmpl w:val="AE104D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2"/>
  </w:num>
  <w:num w:numId="3">
    <w:abstractNumId w:val="13"/>
  </w:num>
  <w:num w:numId="4">
    <w:abstractNumId w:val="20"/>
  </w:num>
  <w:num w:numId="5">
    <w:abstractNumId w:val="13"/>
  </w:num>
  <w:num w:numId="6">
    <w:abstractNumId w:val="11"/>
  </w:num>
  <w:num w:numId="7">
    <w:abstractNumId w:val="18"/>
  </w:num>
  <w:num w:numId="8">
    <w:abstractNumId w:val="27"/>
  </w:num>
  <w:num w:numId="9">
    <w:abstractNumId w:val="15"/>
  </w:num>
  <w:num w:numId="10">
    <w:abstractNumId w:val="17"/>
  </w:num>
  <w:num w:numId="11">
    <w:abstractNumId w:val="23"/>
  </w:num>
  <w:num w:numId="12">
    <w:abstractNumId w:val="16"/>
  </w:num>
  <w:num w:numId="13">
    <w:abstractNumId w:val="19"/>
  </w:num>
  <w:num w:numId="14">
    <w:abstractNumId w:val="24"/>
  </w:num>
  <w:num w:numId="15">
    <w:abstractNumId w:val="25"/>
  </w:num>
  <w:num w:numId="16">
    <w:abstractNumId w:val="24"/>
  </w:num>
  <w:num w:numId="17">
    <w:abstractNumId w:val="24"/>
  </w:num>
  <w:num w:numId="18">
    <w:abstractNumId w:val="22"/>
  </w:num>
  <w:num w:numId="19">
    <w:abstractNumId w:val="24"/>
  </w:num>
  <w:num w:numId="20">
    <w:abstractNumId w:val="24"/>
  </w:num>
  <w:num w:numId="21">
    <w:abstractNumId w:val="24"/>
  </w:num>
  <w:num w:numId="22">
    <w:abstractNumId w:val="24"/>
  </w:num>
  <w:num w:numId="23">
    <w:abstractNumId w:val="24"/>
  </w:num>
  <w:num w:numId="24">
    <w:abstractNumId w:val="8"/>
  </w:num>
  <w:num w:numId="25">
    <w:abstractNumId w:val="7"/>
  </w:num>
  <w:num w:numId="26">
    <w:abstractNumId w:val="6"/>
  </w:num>
  <w:num w:numId="27">
    <w:abstractNumId w:val="5"/>
  </w:num>
  <w:num w:numId="28">
    <w:abstractNumId w:val="9"/>
  </w:num>
  <w:num w:numId="29">
    <w:abstractNumId w:val="4"/>
  </w:num>
  <w:num w:numId="30">
    <w:abstractNumId w:val="3"/>
  </w:num>
  <w:num w:numId="31">
    <w:abstractNumId w:val="2"/>
  </w:num>
  <w:num w:numId="32">
    <w:abstractNumId w:val="1"/>
  </w:num>
  <w:num w:numId="33">
    <w:abstractNumId w:val="0"/>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10"/>
  </w:num>
  <w:num w:numId="37">
    <w:abstractNumId w:val="26"/>
  </w:num>
  <w:num w:numId="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477"/>
    <w:rsid w:val="00002757"/>
    <w:rsid w:val="00002DB7"/>
    <w:rsid w:val="00006064"/>
    <w:rsid w:val="000061FD"/>
    <w:rsid w:val="0000691F"/>
    <w:rsid w:val="000076C7"/>
    <w:rsid w:val="00007C6B"/>
    <w:rsid w:val="00007CE1"/>
    <w:rsid w:val="00010F02"/>
    <w:rsid w:val="00012492"/>
    <w:rsid w:val="00014280"/>
    <w:rsid w:val="000147F1"/>
    <w:rsid w:val="000149AF"/>
    <w:rsid w:val="00014AFF"/>
    <w:rsid w:val="00016235"/>
    <w:rsid w:val="00017F38"/>
    <w:rsid w:val="00022A23"/>
    <w:rsid w:val="00022BF7"/>
    <w:rsid w:val="00026493"/>
    <w:rsid w:val="00026A9F"/>
    <w:rsid w:val="00027233"/>
    <w:rsid w:val="000308D7"/>
    <w:rsid w:val="00031253"/>
    <w:rsid w:val="000318CC"/>
    <w:rsid w:val="00031F7B"/>
    <w:rsid w:val="00033276"/>
    <w:rsid w:val="00034C07"/>
    <w:rsid w:val="000355E0"/>
    <w:rsid w:val="00037A3F"/>
    <w:rsid w:val="0004010E"/>
    <w:rsid w:val="00040D8B"/>
    <w:rsid w:val="00040E4A"/>
    <w:rsid w:val="000428BD"/>
    <w:rsid w:val="00042B0F"/>
    <w:rsid w:val="000434C6"/>
    <w:rsid w:val="000439F5"/>
    <w:rsid w:val="00043A33"/>
    <w:rsid w:val="00043FC0"/>
    <w:rsid w:val="00045626"/>
    <w:rsid w:val="00047385"/>
    <w:rsid w:val="00047BFD"/>
    <w:rsid w:val="00050C92"/>
    <w:rsid w:val="000511E2"/>
    <w:rsid w:val="00051EF5"/>
    <w:rsid w:val="000539A9"/>
    <w:rsid w:val="000539C6"/>
    <w:rsid w:val="000539CF"/>
    <w:rsid w:val="00054FEA"/>
    <w:rsid w:val="000555EB"/>
    <w:rsid w:val="00057414"/>
    <w:rsid w:val="00057F5B"/>
    <w:rsid w:val="00061DFA"/>
    <w:rsid w:val="00061E0A"/>
    <w:rsid w:val="00062A6C"/>
    <w:rsid w:val="00064C0D"/>
    <w:rsid w:val="00064CA3"/>
    <w:rsid w:val="000654BE"/>
    <w:rsid w:val="00066586"/>
    <w:rsid w:val="00066D38"/>
    <w:rsid w:val="000677B0"/>
    <w:rsid w:val="00070861"/>
    <w:rsid w:val="0007086A"/>
    <w:rsid w:val="000729FE"/>
    <w:rsid w:val="00072A73"/>
    <w:rsid w:val="00075563"/>
    <w:rsid w:val="0007597A"/>
    <w:rsid w:val="00075DEC"/>
    <w:rsid w:val="00077B47"/>
    <w:rsid w:val="0008079A"/>
    <w:rsid w:val="00080874"/>
    <w:rsid w:val="000844E4"/>
    <w:rsid w:val="00084E22"/>
    <w:rsid w:val="00085509"/>
    <w:rsid w:val="000862BA"/>
    <w:rsid w:val="000873B7"/>
    <w:rsid w:val="00090440"/>
    <w:rsid w:val="00090A10"/>
    <w:rsid w:val="000934F5"/>
    <w:rsid w:val="0009520B"/>
    <w:rsid w:val="000A1A43"/>
    <w:rsid w:val="000A1FAF"/>
    <w:rsid w:val="000A1FCF"/>
    <w:rsid w:val="000A3928"/>
    <w:rsid w:val="000A51CB"/>
    <w:rsid w:val="000A55ED"/>
    <w:rsid w:val="000A5D0D"/>
    <w:rsid w:val="000A647F"/>
    <w:rsid w:val="000A6500"/>
    <w:rsid w:val="000A6C3A"/>
    <w:rsid w:val="000A6C3C"/>
    <w:rsid w:val="000B20AF"/>
    <w:rsid w:val="000B252B"/>
    <w:rsid w:val="000B252D"/>
    <w:rsid w:val="000B2578"/>
    <w:rsid w:val="000B28E1"/>
    <w:rsid w:val="000B2BBD"/>
    <w:rsid w:val="000B3384"/>
    <w:rsid w:val="000B4B3C"/>
    <w:rsid w:val="000B4B88"/>
    <w:rsid w:val="000B50E1"/>
    <w:rsid w:val="000B60B3"/>
    <w:rsid w:val="000B7273"/>
    <w:rsid w:val="000C0165"/>
    <w:rsid w:val="000C0184"/>
    <w:rsid w:val="000C0266"/>
    <w:rsid w:val="000C1AE6"/>
    <w:rsid w:val="000C22F6"/>
    <w:rsid w:val="000C2C6B"/>
    <w:rsid w:val="000C410F"/>
    <w:rsid w:val="000C437E"/>
    <w:rsid w:val="000C55B9"/>
    <w:rsid w:val="000C6466"/>
    <w:rsid w:val="000D63D3"/>
    <w:rsid w:val="000E089F"/>
    <w:rsid w:val="000E3660"/>
    <w:rsid w:val="000E48DE"/>
    <w:rsid w:val="000E4D78"/>
    <w:rsid w:val="000E5017"/>
    <w:rsid w:val="000E7502"/>
    <w:rsid w:val="000E7907"/>
    <w:rsid w:val="000F11C5"/>
    <w:rsid w:val="000F1F8B"/>
    <w:rsid w:val="000F325B"/>
    <w:rsid w:val="000F353C"/>
    <w:rsid w:val="000F3978"/>
    <w:rsid w:val="000F41F7"/>
    <w:rsid w:val="000F436D"/>
    <w:rsid w:val="000F437F"/>
    <w:rsid w:val="000F4DE8"/>
    <w:rsid w:val="000F4F08"/>
    <w:rsid w:val="000F500A"/>
    <w:rsid w:val="000F5368"/>
    <w:rsid w:val="0010257B"/>
    <w:rsid w:val="00104D4E"/>
    <w:rsid w:val="001076D0"/>
    <w:rsid w:val="00107EE3"/>
    <w:rsid w:val="00110678"/>
    <w:rsid w:val="00111E08"/>
    <w:rsid w:val="001142EA"/>
    <w:rsid w:val="00115283"/>
    <w:rsid w:val="00116829"/>
    <w:rsid w:val="00117213"/>
    <w:rsid w:val="00117ACE"/>
    <w:rsid w:val="00120B05"/>
    <w:rsid w:val="00120DFE"/>
    <w:rsid w:val="001210C1"/>
    <w:rsid w:val="00123C67"/>
    <w:rsid w:val="001244CE"/>
    <w:rsid w:val="001266BD"/>
    <w:rsid w:val="001300D4"/>
    <w:rsid w:val="00133388"/>
    <w:rsid w:val="001340B6"/>
    <w:rsid w:val="00134B0E"/>
    <w:rsid w:val="00135BEC"/>
    <w:rsid w:val="00136E1E"/>
    <w:rsid w:val="0014140C"/>
    <w:rsid w:val="00142B32"/>
    <w:rsid w:val="0014486B"/>
    <w:rsid w:val="00147B9B"/>
    <w:rsid w:val="00150094"/>
    <w:rsid w:val="001520BE"/>
    <w:rsid w:val="00154304"/>
    <w:rsid w:val="00157584"/>
    <w:rsid w:val="00157607"/>
    <w:rsid w:val="001627D8"/>
    <w:rsid w:val="00165DF3"/>
    <w:rsid w:val="00166DC3"/>
    <w:rsid w:val="0017066D"/>
    <w:rsid w:val="00170DBF"/>
    <w:rsid w:val="00171F1C"/>
    <w:rsid w:val="001736D3"/>
    <w:rsid w:val="00173FDA"/>
    <w:rsid w:val="00175D90"/>
    <w:rsid w:val="00180BB1"/>
    <w:rsid w:val="00183214"/>
    <w:rsid w:val="001840E0"/>
    <w:rsid w:val="00185482"/>
    <w:rsid w:val="00186DC0"/>
    <w:rsid w:val="001877BF"/>
    <w:rsid w:val="00187F75"/>
    <w:rsid w:val="0019039F"/>
    <w:rsid w:val="00190A9B"/>
    <w:rsid w:val="0019285E"/>
    <w:rsid w:val="00193886"/>
    <w:rsid w:val="00193F94"/>
    <w:rsid w:val="001944C1"/>
    <w:rsid w:val="00194B67"/>
    <w:rsid w:val="001958F0"/>
    <w:rsid w:val="00195A08"/>
    <w:rsid w:val="00196B1F"/>
    <w:rsid w:val="0019717B"/>
    <w:rsid w:val="001A0016"/>
    <w:rsid w:val="001A01BF"/>
    <w:rsid w:val="001A0C85"/>
    <w:rsid w:val="001A3129"/>
    <w:rsid w:val="001A35BB"/>
    <w:rsid w:val="001A5053"/>
    <w:rsid w:val="001A6C13"/>
    <w:rsid w:val="001B0891"/>
    <w:rsid w:val="001B13DF"/>
    <w:rsid w:val="001B3311"/>
    <w:rsid w:val="001B3379"/>
    <w:rsid w:val="001B44DE"/>
    <w:rsid w:val="001B5172"/>
    <w:rsid w:val="001B5D2D"/>
    <w:rsid w:val="001C0842"/>
    <w:rsid w:val="001C0D34"/>
    <w:rsid w:val="001C17F8"/>
    <w:rsid w:val="001C567C"/>
    <w:rsid w:val="001C5CA5"/>
    <w:rsid w:val="001D320A"/>
    <w:rsid w:val="001D3B67"/>
    <w:rsid w:val="001D4276"/>
    <w:rsid w:val="001D42D4"/>
    <w:rsid w:val="001D4977"/>
    <w:rsid w:val="001D56AB"/>
    <w:rsid w:val="001D597D"/>
    <w:rsid w:val="001D7CE6"/>
    <w:rsid w:val="001E07AC"/>
    <w:rsid w:val="001E27F1"/>
    <w:rsid w:val="001E4883"/>
    <w:rsid w:val="001E48F4"/>
    <w:rsid w:val="001E4B07"/>
    <w:rsid w:val="001E6399"/>
    <w:rsid w:val="001E707A"/>
    <w:rsid w:val="001E70D3"/>
    <w:rsid w:val="001E769C"/>
    <w:rsid w:val="001F1BAF"/>
    <w:rsid w:val="001F25EF"/>
    <w:rsid w:val="001F64C4"/>
    <w:rsid w:val="001F6775"/>
    <w:rsid w:val="002009CA"/>
    <w:rsid w:val="00201723"/>
    <w:rsid w:val="00203604"/>
    <w:rsid w:val="00203D68"/>
    <w:rsid w:val="00204960"/>
    <w:rsid w:val="00205DBD"/>
    <w:rsid w:val="002068D0"/>
    <w:rsid w:val="002078C6"/>
    <w:rsid w:val="00210967"/>
    <w:rsid w:val="0021268D"/>
    <w:rsid w:val="00212CB7"/>
    <w:rsid w:val="002136F3"/>
    <w:rsid w:val="0021490A"/>
    <w:rsid w:val="002151A6"/>
    <w:rsid w:val="002152A8"/>
    <w:rsid w:val="002164D6"/>
    <w:rsid w:val="0022048B"/>
    <w:rsid w:val="00221B2E"/>
    <w:rsid w:val="00222F12"/>
    <w:rsid w:val="002237FA"/>
    <w:rsid w:val="00223A90"/>
    <w:rsid w:val="0022556C"/>
    <w:rsid w:val="002259BA"/>
    <w:rsid w:val="00231505"/>
    <w:rsid w:val="0023287E"/>
    <w:rsid w:val="0023316E"/>
    <w:rsid w:val="00233837"/>
    <w:rsid w:val="00234D1F"/>
    <w:rsid w:val="00236934"/>
    <w:rsid w:val="00240747"/>
    <w:rsid w:val="00241134"/>
    <w:rsid w:val="00241BC1"/>
    <w:rsid w:val="00242B3A"/>
    <w:rsid w:val="00243675"/>
    <w:rsid w:val="00243D64"/>
    <w:rsid w:val="002445C7"/>
    <w:rsid w:val="002457B4"/>
    <w:rsid w:val="00245B45"/>
    <w:rsid w:val="0024720B"/>
    <w:rsid w:val="002476B8"/>
    <w:rsid w:val="00250321"/>
    <w:rsid w:val="00250B93"/>
    <w:rsid w:val="00250BCB"/>
    <w:rsid w:val="00251922"/>
    <w:rsid w:val="00252D18"/>
    <w:rsid w:val="00253508"/>
    <w:rsid w:val="002538BB"/>
    <w:rsid w:val="002545EE"/>
    <w:rsid w:val="00255E40"/>
    <w:rsid w:val="00256467"/>
    <w:rsid w:val="002606CB"/>
    <w:rsid w:val="00260FA0"/>
    <w:rsid w:val="00262196"/>
    <w:rsid w:val="002624BC"/>
    <w:rsid w:val="00262BD3"/>
    <w:rsid w:val="002634A6"/>
    <w:rsid w:val="00263E48"/>
    <w:rsid w:val="002640B5"/>
    <w:rsid w:val="00264A27"/>
    <w:rsid w:val="00265097"/>
    <w:rsid w:val="00265254"/>
    <w:rsid w:val="00266558"/>
    <w:rsid w:val="002670C8"/>
    <w:rsid w:val="002671E7"/>
    <w:rsid w:val="0027288E"/>
    <w:rsid w:val="00272D3D"/>
    <w:rsid w:val="00274901"/>
    <w:rsid w:val="00274DB5"/>
    <w:rsid w:val="00275DE9"/>
    <w:rsid w:val="0027709F"/>
    <w:rsid w:val="00277BEC"/>
    <w:rsid w:val="00281058"/>
    <w:rsid w:val="00282A16"/>
    <w:rsid w:val="002830F7"/>
    <w:rsid w:val="00284166"/>
    <w:rsid w:val="00285484"/>
    <w:rsid w:val="002904A5"/>
    <w:rsid w:val="00290C9E"/>
    <w:rsid w:val="00290D6D"/>
    <w:rsid w:val="00291C85"/>
    <w:rsid w:val="00291D10"/>
    <w:rsid w:val="00292FCB"/>
    <w:rsid w:val="00294745"/>
    <w:rsid w:val="00296BB7"/>
    <w:rsid w:val="002A2DC8"/>
    <w:rsid w:val="002A3022"/>
    <w:rsid w:val="002A3E75"/>
    <w:rsid w:val="002A3F35"/>
    <w:rsid w:val="002A4A4C"/>
    <w:rsid w:val="002A52FA"/>
    <w:rsid w:val="002A6E27"/>
    <w:rsid w:val="002A7E0D"/>
    <w:rsid w:val="002A7E39"/>
    <w:rsid w:val="002A7E9E"/>
    <w:rsid w:val="002B08E8"/>
    <w:rsid w:val="002B0F50"/>
    <w:rsid w:val="002B1D2D"/>
    <w:rsid w:val="002B5638"/>
    <w:rsid w:val="002B77EB"/>
    <w:rsid w:val="002C098F"/>
    <w:rsid w:val="002C0E68"/>
    <w:rsid w:val="002C1AFD"/>
    <w:rsid w:val="002C3945"/>
    <w:rsid w:val="002C45FD"/>
    <w:rsid w:val="002C4864"/>
    <w:rsid w:val="002D0499"/>
    <w:rsid w:val="002D081C"/>
    <w:rsid w:val="002D0C4F"/>
    <w:rsid w:val="002D1979"/>
    <w:rsid w:val="002D1D06"/>
    <w:rsid w:val="002D5F84"/>
    <w:rsid w:val="002D6EF4"/>
    <w:rsid w:val="002D74FC"/>
    <w:rsid w:val="002E0631"/>
    <w:rsid w:val="002E085B"/>
    <w:rsid w:val="002E098A"/>
    <w:rsid w:val="002E0A66"/>
    <w:rsid w:val="002E1C0E"/>
    <w:rsid w:val="002E2CA0"/>
    <w:rsid w:val="002E3BD8"/>
    <w:rsid w:val="002E6DED"/>
    <w:rsid w:val="002E6F2A"/>
    <w:rsid w:val="002F0F18"/>
    <w:rsid w:val="002F17AC"/>
    <w:rsid w:val="002F2A0D"/>
    <w:rsid w:val="002F309E"/>
    <w:rsid w:val="002F3194"/>
    <w:rsid w:val="002F37AE"/>
    <w:rsid w:val="002F46C5"/>
    <w:rsid w:val="002F5036"/>
    <w:rsid w:val="002F624B"/>
    <w:rsid w:val="002F63F8"/>
    <w:rsid w:val="002F6ED6"/>
    <w:rsid w:val="003016D2"/>
    <w:rsid w:val="00301C4F"/>
    <w:rsid w:val="00304F77"/>
    <w:rsid w:val="00305679"/>
    <w:rsid w:val="0030610F"/>
    <w:rsid w:val="003064A4"/>
    <w:rsid w:val="00306B1E"/>
    <w:rsid w:val="00307908"/>
    <w:rsid w:val="00314CAD"/>
    <w:rsid w:val="00315354"/>
    <w:rsid w:val="00315542"/>
    <w:rsid w:val="00316FFC"/>
    <w:rsid w:val="003176C7"/>
    <w:rsid w:val="00320057"/>
    <w:rsid w:val="00320660"/>
    <w:rsid w:val="003208AD"/>
    <w:rsid w:val="0032297C"/>
    <w:rsid w:val="003234BE"/>
    <w:rsid w:val="00324789"/>
    <w:rsid w:val="00324ABD"/>
    <w:rsid w:val="0032753E"/>
    <w:rsid w:val="00335A5D"/>
    <w:rsid w:val="00336F87"/>
    <w:rsid w:val="00341FE4"/>
    <w:rsid w:val="003430C0"/>
    <w:rsid w:val="003448DE"/>
    <w:rsid w:val="00345138"/>
    <w:rsid w:val="00345255"/>
    <w:rsid w:val="0034584C"/>
    <w:rsid w:val="00345A15"/>
    <w:rsid w:val="0034611C"/>
    <w:rsid w:val="003462DD"/>
    <w:rsid w:val="00346588"/>
    <w:rsid w:val="003475D6"/>
    <w:rsid w:val="00350A0F"/>
    <w:rsid w:val="00350EF1"/>
    <w:rsid w:val="0035223D"/>
    <w:rsid w:val="00354EA6"/>
    <w:rsid w:val="00355097"/>
    <w:rsid w:val="00357F92"/>
    <w:rsid w:val="00357FC4"/>
    <w:rsid w:val="00360ED9"/>
    <w:rsid w:val="00361699"/>
    <w:rsid w:val="00361F3B"/>
    <w:rsid w:val="00362BED"/>
    <w:rsid w:val="003635FD"/>
    <w:rsid w:val="00363F10"/>
    <w:rsid w:val="00365536"/>
    <w:rsid w:val="00366ED6"/>
    <w:rsid w:val="00367A9D"/>
    <w:rsid w:val="003708DE"/>
    <w:rsid w:val="00371870"/>
    <w:rsid w:val="00372224"/>
    <w:rsid w:val="003724BD"/>
    <w:rsid w:val="0037469F"/>
    <w:rsid w:val="00375AD3"/>
    <w:rsid w:val="00375EDA"/>
    <w:rsid w:val="00377231"/>
    <w:rsid w:val="00382635"/>
    <w:rsid w:val="00382857"/>
    <w:rsid w:val="00383EE0"/>
    <w:rsid w:val="00384179"/>
    <w:rsid w:val="0038433C"/>
    <w:rsid w:val="00384BB8"/>
    <w:rsid w:val="00384CC0"/>
    <w:rsid w:val="00385E37"/>
    <w:rsid w:val="00386BC2"/>
    <w:rsid w:val="00386DF1"/>
    <w:rsid w:val="003874DF"/>
    <w:rsid w:val="0038779A"/>
    <w:rsid w:val="003912A2"/>
    <w:rsid w:val="003936F3"/>
    <w:rsid w:val="00394A33"/>
    <w:rsid w:val="0039589F"/>
    <w:rsid w:val="00395C7B"/>
    <w:rsid w:val="00396478"/>
    <w:rsid w:val="00397625"/>
    <w:rsid w:val="003A08EA"/>
    <w:rsid w:val="003A09B7"/>
    <w:rsid w:val="003A0BA3"/>
    <w:rsid w:val="003A16B7"/>
    <w:rsid w:val="003A351F"/>
    <w:rsid w:val="003A4F1C"/>
    <w:rsid w:val="003A5492"/>
    <w:rsid w:val="003A6AC4"/>
    <w:rsid w:val="003A6B28"/>
    <w:rsid w:val="003A7091"/>
    <w:rsid w:val="003A7B92"/>
    <w:rsid w:val="003A7F85"/>
    <w:rsid w:val="003B2EBF"/>
    <w:rsid w:val="003B2F0B"/>
    <w:rsid w:val="003B34EF"/>
    <w:rsid w:val="003B4238"/>
    <w:rsid w:val="003B629D"/>
    <w:rsid w:val="003B722E"/>
    <w:rsid w:val="003B7B47"/>
    <w:rsid w:val="003C1291"/>
    <w:rsid w:val="003C23A6"/>
    <w:rsid w:val="003C24BB"/>
    <w:rsid w:val="003C4188"/>
    <w:rsid w:val="003C564E"/>
    <w:rsid w:val="003C61BF"/>
    <w:rsid w:val="003C68A3"/>
    <w:rsid w:val="003C700C"/>
    <w:rsid w:val="003C7B52"/>
    <w:rsid w:val="003C7DF7"/>
    <w:rsid w:val="003D058F"/>
    <w:rsid w:val="003D064A"/>
    <w:rsid w:val="003D0ED3"/>
    <w:rsid w:val="003D1283"/>
    <w:rsid w:val="003D1ACC"/>
    <w:rsid w:val="003D337E"/>
    <w:rsid w:val="003D3ADB"/>
    <w:rsid w:val="003D4236"/>
    <w:rsid w:val="003D4681"/>
    <w:rsid w:val="003D68A3"/>
    <w:rsid w:val="003D6CA9"/>
    <w:rsid w:val="003E583B"/>
    <w:rsid w:val="003E7262"/>
    <w:rsid w:val="003E778E"/>
    <w:rsid w:val="003E79D0"/>
    <w:rsid w:val="003E7B33"/>
    <w:rsid w:val="003E7CEB"/>
    <w:rsid w:val="003F2A13"/>
    <w:rsid w:val="003F4B4D"/>
    <w:rsid w:val="003F4E3B"/>
    <w:rsid w:val="003F517E"/>
    <w:rsid w:val="003F69EB"/>
    <w:rsid w:val="003F6A69"/>
    <w:rsid w:val="003F7348"/>
    <w:rsid w:val="003F7709"/>
    <w:rsid w:val="003F7EE6"/>
    <w:rsid w:val="0040100E"/>
    <w:rsid w:val="00401A46"/>
    <w:rsid w:val="00402446"/>
    <w:rsid w:val="00403A76"/>
    <w:rsid w:val="00403D5B"/>
    <w:rsid w:val="00404E3C"/>
    <w:rsid w:val="004055A7"/>
    <w:rsid w:val="0040561E"/>
    <w:rsid w:val="00410087"/>
    <w:rsid w:val="00410C8A"/>
    <w:rsid w:val="00412E1F"/>
    <w:rsid w:val="00412ED5"/>
    <w:rsid w:val="0041387B"/>
    <w:rsid w:val="00414692"/>
    <w:rsid w:val="00423C1A"/>
    <w:rsid w:val="0042492A"/>
    <w:rsid w:val="004250B8"/>
    <w:rsid w:val="00430092"/>
    <w:rsid w:val="00430F68"/>
    <w:rsid w:val="0043223E"/>
    <w:rsid w:val="00432C9C"/>
    <w:rsid w:val="00434041"/>
    <w:rsid w:val="00434C9B"/>
    <w:rsid w:val="00435C77"/>
    <w:rsid w:val="00435C8A"/>
    <w:rsid w:val="00440057"/>
    <w:rsid w:val="0044196A"/>
    <w:rsid w:val="00442E1C"/>
    <w:rsid w:val="004436FA"/>
    <w:rsid w:val="00443C31"/>
    <w:rsid w:val="00444CBA"/>
    <w:rsid w:val="00446082"/>
    <w:rsid w:val="00450DB1"/>
    <w:rsid w:val="00450F06"/>
    <w:rsid w:val="00452A1D"/>
    <w:rsid w:val="004533FF"/>
    <w:rsid w:val="00453624"/>
    <w:rsid w:val="0045384F"/>
    <w:rsid w:val="00454A7B"/>
    <w:rsid w:val="00455AA0"/>
    <w:rsid w:val="004564B1"/>
    <w:rsid w:val="00460603"/>
    <w:rsid w:val="00464002"/>
    <w:rsid w:val="004652FB"/>
    <w:rsid w:val="004656F1"/>
    <w:rsid w:val="00465C99"/>
    <w:rsid w:val="00466239"/>
    <w:rsid w:val="00466A18"/>
    <w:rsid w:val="00470F48"/>
    <w:rsid w:val="00471179"/>
    <w:rsid w:val="00472B38"/>
    <w:rsid w:val="00473033"/>
    <w:rsid w:val="00473DC6"/>
    <w:rsid w:val="00474A11"/>
    <w:rsid w:val="00477F9C"/>
    <w:rsid w:val="00480D4D"/>
    <w:rsid w:val="004836D6"/>
    <w:rsid w:val="00483757"/>
    <w:rsid w:val="00483ED0"/>
    <w:rsid w:val="004861AF"/>
    <w:rsid w:val="004868AD"/>
    <w:rsid w:val="0048727E"/>
    <w:rsid w:val="00490C90"/>
    <w:rsid w:val="00492636"/>
    <w:rsid w:val="00492BB2"/>
    <w:rsid w:val="00492C75"/>
    <w:rsid w:val="00496BC8"/>
    <w:rsid w:val="004A0A10"/>
    <w:rsid w:val="004A1A17"/>
    <w:rsid w:val="004A1F13"/>
    <w:rsid w:val="004A2B81"/>
    <w:rsid w:val="004A338E"/>
    <w:rsid w:val="004A3C0C"/>
    <w:rsid w:val="004A3DCD"/>
    <w:rsid w:val="004A41BD"/>
    <w:rsid w:val="004A6210"/>
    <w:rsid w:val="004B0307"/>
    <w:rsid w:val="004B0369"/>
    <w:rsid w:val="004B045A"/>
    <w:rsid w:val="004B077F"/>
    <w:rsid w:val="004B1F1A"/>
    <w:rsid w:val="004B3595"/>
    <w:rsid w:val="004B364B"/>
    <w:rsid w:val="004B4368"/>
    <w:rsid w:val="004B449A"/>
    <w:rsid w:val="004B44BF"/>
    <w:rsid w:val="004B479C"/>
    <w:rsid w:val="004B4F59"/>
    <w:rsid w:val="004B54F6"/>
    <w:rsid w:val="004B7AFA"/>
    <w:rsid w:val="004C02F7"/>
    <w:rsid w:val="004C69E5"/>
    <w:rsid w:val="004C7DBF"/>
    <w:rsid w:val="004D15A0"/>
    <w:rsid w:val="004D1ACE"/>
    <w:rsid w:val="004D2238"/>
    <w:rsid w:val="004D2326"/>
    <w:rsid w:val="004D2502"/>
    <w:rsid w:val="004D3612"/>
    <w:rsid w:val="004D3AB4"/>
    <w:rsid w:val="004D478D"/>
    <w:rsid w:val="004D4DCC"/>
    <w:rsid w:val="004D4DD5"/>
    <w:rsid w:val="004D4FA4"/>
    <w:rsid w:val="004D56D4"/>
    <w:rsid w:val="004D5903"/>
    <w:rsid w:val="004D698F"/>
    <w:rsid w:val="004D6AC1"/>
    <w:rsid w:val="004D6BB4"/>
    <w:rsid w:val="004D76FD"/>
    <w:rsid w:val="004E069C"/>
    <w:rsid w:val="004E0BF5"/>
    <w:rsid w:val="004E1BC8"/>
    <w:rsid w:val="004E2C81"/>
    <w:rsid w:val="004E3193"/>
    <w:rsid w:val="004E4E95"/>
    <w:rsid w:val="004E585B"/>
    <w:rsid w:val="004E5D8C"/>
    <w:rsid w:val="004E66E7"/>
    <w:rsid w:val="004E6AE6"/>
    <w:rsid w:val="004E7CDC"/>
    <w:rsid w:val="004F0C57"/>
    <w:rsid w:val="004F5331"/>
    <w:rsid w:val="004F5A2B"/>
    <w:rsid w:val="004F748E"/>
    <w:rsid w:val="00502E24"/>
    <w:rsid w:val="00505176"/>
    <w:rsid w:val="00510060"/>
    <w:rsid w:val="00510217"/>
    <w:rsid w:val="00511659"/>
    <w:rsid w:val="005119D9"/>
    <w:rsid w:val="00513389"/>
    <w:rsid w:val="00513EBA"/>
    <w:rsid w:val="005162B6"/>
    <w:rsid w:val="00517251"/>
    <w:rsid w:val="00517DF7"/>
    <w:rsid w:val="00520553"/>
    <w:rsid w:val="0052055E"/>
    <w:rsid w:val="0052083D"/>
    <w:rsid w:val="005211EC"/>
    <w:rsid w:val="005212AC"/>
    <w:rsid w:val="00521334"/>
    <w:rsid w:val="0052186D"/>
    <w:rsid w:val="005249BB"/>
    <w:rsid w:val="0052546D"/>
    <w:rsid w:val="0052572D"/>
    <w:rsid w:val="00525B72"/>
    <w:rsid w:val="00526634"/>
    <w:rsid w:val="0052684E"/>
    <w:rsid w:val="005329C2"/>
    <w:rsid w:val="00532E70"/>
    <w:rsid w:val="005360E7"/>
    <w:rsid w:val="005429B1"/>
    <w:rsid w:val="005436AC"/>
    <w:rsid w:val="00545DFC"/>
    <w:rsid w:val="005468AD"/>
    <w:rsid w:val="005473E1"/>
    <w:rsid w:val="0054740F"/>
    <w:rsid w:val="00550C68"/>
    <w:rsid w:val="00551B72"/>
    <w:rsid w:val="0055404D"/>
    <w:rsid w:val="0055628B"/>
    <w:rsid w:val="00562369"/>
    <w:rsid w:val="00563988"/>
    <w:rsid w:val="00564B9E"/>
    <w:rsid w:val="00564D5C"/>
    <w:rsid w:val="00564ED3"/>
    <w:rsid w:val="00566008"/>
    <w:rsid w:val="00566B5B"/>
    <w:rsid w:val="00572ADB"/>
    <w:rsid w:val="0057538D"/>
    <w:rsid w:val="0057547C"/>
    <w:rsid w:val="00575CA5"/>
    <w:rsid w:val="0057762D"/>
    <w:rsid w:val="005805A9"/>
    <w:rsid w:val="005819ED"/>
    <w:rsid w:val="00581F65"/>
    <w:rsid w:val="0058374D"/>
    <w:rsid w:val="00584C50"/>
    <w:rsid w:val="00585F6C"/>
    <w:rsid w:val="005907F1"/>
    <w:rsid w:val="00590EBD"/>
    <w:rsid w:val="00594838"/>
    <w:rsid w:val="005957DE"/>
    <w:rsid w:val="005970C2"/>
    <w:rsid w:val="005A0E9D"/>
    <w:rsid w:val="005A0FB6"/>
    <w:rsid w:val="005A15F2"/>
    <w:rsid w:val="005A1AFB"/>
    <w:rsid w:val="005A2196"/>
    <w:rsid w:val="005A2A7B"/>
    <w:rsid w:val="005A3CC6"/>
    <w:rsid w:val="005A75A4"/>
    <w:rsid w:val="005B0064"/>
    <w:rsid w:val="005B07B5"/>
    <w:rsid w:val="005B2E31"/>
    <w:rsid w:val="005B3C58"/>
    <w:rsid w:val="005B3EA5"/>
    <w:rsid w:val="005B4228"/>
    <w:rsid w:val="005B4436"/>
    <w:rsid w:val="005B5DDB"/>
    <w:rsid w:val="005B6FF8"/>
    <w:rsid w:val="005C1F9E"/>
    <w:rsid w:val="005C25AD"/>
    <w:rsid w:val="005C30DE"/>
    <w:rsid w:val="005C44D9"/>
    <w:rsid w:val="005C60F0"/>
    <w:rsid w:val="005C6F11"/>
    <w:rsid w:val="005C735D"/>
    <w:rsid w:val="005D0187"/>
    <w:rsid w:val="005D17D9"/>
    <w:rsid w:val="005D1AC9"/>
    <w:rsid w:val="005D1E16"/>
    <w:rsid w:val="005D2ED1"/>
    <w:rsid w:val="005D3569"/>
    <w:rsid w:val="005D4094"/>
    <w:rsid w:val="005D60D0"/>
    <w:rsid w:val="005E077E"/>
    <w:rsid w:val="005E0D7D"/>
    <w:rsid w:val="005E11BD"/>
    <w:rsid w:val="005E13A9"/>
    <w:rsid w:val="005E4D58"/>
    <w:rsid w:val="005E5667"/>
    <w:rsid w:val="005F0ABA"/>
    <w:rsid w:val="005F137F"/>
    <w:rsid w:val="005F2D34"/>
    <w:rsid w:val="005F3AAF"/>
    <w:rsid w:val="005F5393"/>
    <w:rsid w:val="00600753"/>
    <w:rsid w:val="00600A80"/>
    <w:rsid w:val="00602E92"/>
    <w:rsid w:val="006054ED"/>
    <w:rsid w:val="00605A84"/>
    <w:rsid w:val="00607BBD"/>
    <w:rsid w:val="0061021F"/>
    <w:rsid w:val="006123A1"/>
    <w:rsid w:val="00612D59"/>
    <w:rsid w:val="0061303F"/>
    <w:rsid w:val="00613D18"/>
    <w:rsid w:val="00616028"/>
    <w:rsid w:val="0061684E"/>
    <w:rsid w:val="00621D23"/>
    <w:rsid w:val="00623537"/>
    <w:rsid w:val="00626523"/>
    <w:rsid w:val="006266F7"/>
    <w:rsid w:val="00626F60"/>
    <w:rsid w:val="006302B3"/>
    <w:rsid w:val="00630757"/>
    <w:rsid w:val="0063124C"/>
    <w:rsid w:val="00632028"/>
    <w:rsid w:val="00635015"/>
    <w:rsid w:val="006357E2"/>
    <w:rsid w:val="0063594D"/>
    <w:rsid w:val="00635CF7"/>
    <w:rsid w:val="0063684D"/>
    <w:rsid w:val="00636F3E"/>
    <w:rsid w:val="0063728C"/>
    <w:rsid w:val="006415FC"/>
    <w:rsid w:val="00641C51"/>
    <w:rsid w:val="00643F95"/>
    <w:rsid w:val="00644AA4"/>
    <w:rsid w:val="00645D6F"/>
    <w:rsid w:val="00646C77"/>
    <w:rsid w:val="00647698"/>
    <w:rsid w:val="00653C50"/>
    <w:rsid w:val="00654600"/>
    <w:rsid w:val="00654DF4"/>
    <w:rsid w:val="0065620A"/>
    <w:rsid w:val="00660533"/>
    <w:rsid w:val="0066098C"/>
    <w:rsid w:val="00660EB3"/>
    <w:rsid w:val="006641EA"/>
    <w:rsid w:val="00665C96"/>
    <w:rsid w:val="006668FB"/>
    <w:rsid w:val="00670C8A"/>
    <w:rsid w:val="00671C2A"/>
    <w:rsid w:val="0067269D"/>
    <w:rsid w:val="006726FA"/>
    <w:rsid w:val="00672B44"/>
    <w:rsid w:val="006733B0"/>
    <w:rsid w:val="00673465"/>
    <w:rsid w:val="00673B70"/>
    <w:rsid w:val="00674BDA"/>
    <w:rsid w:val="0067550D"/>
    <w:rsid w:val="00675A6B"/>
    <w:rsid w:val="00677BC4"/>
    <w:rsid w:val="00677F6A"/>
    <w:rsid w:val="0068472E"/>
    <w:rsid w:val="0068479F"/>
    <w:rsid w:val="00685F60"/>
    <w:rsid w:val="00686306"/>
    <w:rsid w:val="00687347"/>
    <w:rsid w:val="00687D36"/>
    <w:rsid w:val="00691797"/>
    <w:rsid w:val="006938E1"/>
    <w:rsid w:val="006957B0"/>
    <w:rsid w:val="00695FA1"/>
    <w:rsid w:val="006961DE"/>
    <w:rsid w:val="006A018B"/>
    <w:rsid w:val="006A1139"/>
    <w:rsid w:val="006A15FC"/>
    <w:rsid w:val="006A2D2B"/>
    <w:rsid w:val="006A36F5"/>
    <w:rsid w:val="006A77E2"/>
    <w:rsid w:val="006B0167"/>
    <w:rsid w:val="006B08AE"/>
    <w:rsid w:val="006B1A04"/>
    <w:rsid w:val="006B2A7E"/>
    <w:rsid w:val="006B2C83"/>
    <w:rsid w:val="006B404A"/>
    <w:rsid w:val="006B5049"/>
    <w:rsid w:val="006B5F51"/>
    <w:rsid w:val="006B6829"/>
    <w:rsid w:val="006B73BC"/>
    <w:rsid w:val="006C0DD2"/>
    <w:rsid w:val="006C1205"/>
    <w:rsid w:val="006C2934"/>
    <w:rsid w:val="006C41D5"/>
    <w:rsid w:val="006C4CA6"/>
    <w:rsid w:val="006C61C6"/>
    <w:rsid w:val="006C6988"/>
    <w:rsid w:val="006C6ADF"/>
    <w:rsid w:val="006D02BB"/>
    <w:rsid w:val="006D0C5D"/>
    <w:rsid w:val="006D0D3A"/>
    <w:rsid w:val="006D233D"/>
    <w:rsid w:val="006D24D4"/>
    <w:rsid w:val="006D26D7"/>
    <w:rsid w:val="006D41A4"/>
    <w:rsid w:val="006D56E6"/>
    <w:rsid w:val="006D644F"/>
    <w:rsid w:val="006D6D42"/>
    <w:rsid w:val="006D6F14"/>
    <w:rsid w:val="006E0153"/>
    <w:rsid w:val="006E0400"/>
    <w:rsid w:val="006E19C5"/>
    <w:rsid w:val="006E3CD2"/>
    <w:rsid w:val="006E4650"/>
    <w:rsid w:val="006E4E57"/>
    <w:rsid w:val="006E5B62"/>
    <w:rsid w:val="006E5E23"/>
    <w:rsid w:val="006E65F6"/>
    <w:rsid w:val="006E670D"/>
    <w:rsid w:val="006E699A"/>
    <w:rsid w:val="006E6C58"/>
    <w:rsid w:val="006E739F"/>
    <w:rsid w:val="006F45B0"/>
    <w:rsid w:val="006F4B32"/>
    <w:rsid w:val="0070025D"/>
    <w:rsid w:val="007005CF"/>
    <w:rsid w:val="007011D1"/>
    <w:rsid w:val="00703488"/>
    <w:rsid w:val="00704C02"/>
    <w:rsid w:val="00705682"/>
    <w:rsid w:val="00710BFE"/>
    <w:rsid w:val="00710C05"/>
    <w:rsid w:val="00711E6F"/>
    <w:rsid w:val="0071485D"/>
    <w:rsid w:val="007172A3"/>
    <w:rsid w:val="00721747"/>
    <w:rsid w:val="00721B5D"/>
    <w:rsid w:val="007221A2"/>
    <w:rsid w:val="0072302B"/>
    <w:rsid w:val="007253E9"/>
    <w:rsid w:val="0072563C"/>
    <w:rsid w:val="00725CDA"/>
    <w:rsid w:val="007261D9"/>
    <w:rsid w:val="0072757C"/>
    <w:rsid w:val="00727C2C"/>
    <w:rsid w:val="00727CDC"/>
    <w:rsid w:val="007301D7"/>
    <w:rsid w:val="0073084D"/>
    <w:rsid w:val="00730E6C"/>
    <w:rsid w:val="0073397D"/>
    <w:rsid w:val="0073692E"/>
    <w:rsid w:val="0074008E"/>
    <w:rsid w:val="007453CE"/>
    <w:rsid w:val="00745D59"/>
    <w:rsid w:val="00747288"/>
    <w:rsid w:val="00747C3A"/>
    <w:rsid w:val="00752244"/>
    <w:rsid w:val="00752D15"/>
    <w:rsid w:val="0075375F"/>
    <w:rsid w:val="007538C5"/>
    <w:rsid w:val="00754309"/>
    <w:rsid w:val="0075636E"/>
    <w:rsid w:val="00756A11"/>
    <w:rsid w:val="007576D4"/>
    <w:rsid w:val="00757F18"/>
    <w:rsid w:val="00760683"/>
    <w:rsid w:val="007611EF"/>
    <w:rsid w:val="00761614"/>
    <w:rsid w:val="00761635"/>
    <w:rsid w:val="00763C13"/>
    <w:rsid w:val="007678CF"/>
    <w:rsid w:val="00770505"/>
    <w:rsid w:val="00772C15"/>
    <w:rsid w:val="00772F74"/>
    <w:rsid w:val="00774A7A"/>
    <w:rsid w:val="00774D25"/>
    <w:rsid w:val="0077748E"/>
    <w:rsid w:val="00777573"/>
    <w:rsid w:val="00780DC0"/>
    <w:rsid w:val="00781045"/>
    <w:rsid w:val="0078187A"/>
    <w:rsid w:val="0078464C"/>
    <w:rsid w:val="00786FF2"/>
    <w:rsid w:val="00787AD6"/>
    <w:rsid w:val="00791198"/>
    <w:rsid w:val="00794DB0"/>
    <w:rsid w:val="007977D7"/>
    <w:rsid w:val="00797FA9"/>
    <w:rsid w:val="007A1D48"/>
    <w:rsid w:val="007A2D65"/>
    <w:rsid w:val="007A2F7D"/>
    <w:rsid w:val="007A3153"/>
    <w:rsid w:val="007A3A97"/>
    <w:rsid w:val="007A3E54"/>
    <w:rsid w:val="007A5A47"/>
    <w:rsid w:val="007A5EE5"/>
    <w:rsid w:val="007A63D5"/>
    <w:rsid w:val="007A6D15"/>
    <w:rsid w:val="007A72CF"/>
    <w:rsid w:val="007B1E76"/>
    <w:rsid w:val="007B35C4"/>
    <w:rsid w:val="007B4A38"/>
    <w:rsid w:val="007B5B2F"/>
    <w:rsid w:val="007C0C98"/>
    <w:rsid w:val="007C18B7"/>
    <w:rsid w:val="007C1D80"/>
    <w:rsid w:val="007C2B1B"/>
    <w:rsid w:val="007C3435"/>
    <w:rsid w:val="007C37FA"/>
    <w:rsid w:val="007C3B50"/>
    <w:rsid w:val="007C5517"/>
    <w:rsid w:val="007C5CD1"/>
    <w:rsid w:val="007C6944"/>
    <w:rsid w:val="007D13B0"/>
    <w:rsid w:val="007D1EBD"/>
    <w:rsid w:val="007D279A"/>
    <w:rsid w:val="007D2E81"/>
    <w:rsid w:val="007D2F4E"/>
    <w:rsid w:val="007D3DBA"/>
    <w:rsid w:val="007D4A65"/>
    <w:rsid w:val="007D7022"/>
    <w:rsid w:val="007D75EC"/>
    <w:rsid w:val="007E06CD"/>
    <w:rsid w:val="007E0AB5"/>
    <w:rsid w:val="007E281B"/>
    <w:rsid w:val="007E2943"/>
    <w:rsid w:val="007E40CC"/>
    <w:rsid w:val="007E4121"/>
    <w:rsid w:val="007E45FF"/>
    <w:rsid w:val="007E76FA"/>
    <w:rsid w:val="007F05BB"/>
    <w:rsid w:val="007F0672"/>
    <w:rsid w:val="007F1107"/>
    <w:rsid w:val="007F18A5"/>
    <w:rsid w:val="007F6C0B"/>
    <w:rsid w:val="007F798B"/>
    <w:rsid w:val="00800861"/>
    <w:rsid w:val="0080158E"/>
    <w:rsid w:val="00801653"/>
    <w:rsid w:val="0080407B"/>
    <w:rsid w:val="00804A6A"/>
    <w:rsid w:val="00805647"/>
    <w:rsid w:val="00805E0B"/>
    <w:rsid w:val="00806E39"/>
    <w:rsid w:val="00806ED1"/>
    <w:rsid w:val="00806F0E"/>
    <w:rsid w:val="008073EB"/>
    <w:rsid w:val="00807D5E"/>
    <w:rsid w:val="00811881"/>
    <w:rsid w:val="00811B8D"/>
    <w:rsid w:val="00815061"/>
    <w:rsid w:val="00815913"/>
    <w:rsid w:val="00815E20"/>
    <w:rsid w:val="00816D90"/>
    <w:rsid w:val="0081759A"/>
    <w:rsid w:val="0081759B"/>
    <w:rsid w:val="0081764B"/>
    <w:rsid w:val="00822270"/>
    <w:rsid w:val="008234DB"/>
    <w:rsid w:val="00824346"/>
    <w:rsid w:val="00826BE9"/>
    <w:rsid w:val="0083035D"/>
    <w:rsid w:val="00830677"/>
    <w:rsid w:val="00831D62"/>
    <w:rsid w:val="00832B7F"/>
    <w:rsid w:val="00834196"/>
    <w:rsid w:val="00836362"/>
    <w:rsid w:val="00836812"/>
    <w:rsid w:val="00836DCB"/>
    <w:rsid w:val="00840013"/>
    <w:rsid w:val="0084154A"/>
    <w:rsid w:val="00843624"/>
    <w:rsid w:val="00844A98"/>
    <w:rsid w:val="00845E0D"/>
    <w:rsid w:val="00847266"/>
    <w:rsid w:val="0085161E"/>
    <w:rsid w:val="008521D4"/>
    <w:rsid w:val="00852CD2"/>
    <w:rsid w:val="00852DF1"/>
    <w:rsid w:val="00855F75"/>
    <w:rsid w:val="008618C2"/>
    <w:rsid w:val="00862434"/>
    <w:rsid w:val="00862B39"/>
    <w:rsid w:val="00862ED1"/>
    <w:rsid w:val="00864EC0"/>
    <w:rsid w:val="00866539"/>
    <w:rsid w:val="00866E95"/>
    <w:rsid w:val="008679A9"/>
    <w:rsid w:val="00870006"/>
    <w:rsid w:val="008702E9"/>
    <w:rsid w:val="008747B0"/>
    <w:rsid w:val="00875863"/>
    <w:rsid w:val="00876EC7"/>
    <w:rsid w:val="00877BA1"/>
    <w:rsid w:val="00877D6A"/>
    <w:rsid w:val="00877EBA"/>
    <w:rsid w:val="008809B7"/>
    <w:rsid w:val="00880D80"/>
    <w:rsid w:val="00881160"/>
    <w:rsid w:val="00881BF7"/>
    <w:rsid w:val="0088289A"/>
    <w:rsid w:val="00884844"/>
    <w:rsid w:val="008858AF"/>
    <w:rsid w:val="00887A49"/>
    <w:rsid w:val="008900F6"/>
    <w:rsid w:val="00890CE1"/>
    <w:rsid w:val="00893763"/>
    <w:rsid w:val="008959BC"/>
    <w:rsid w:val="008963C8"/>
    <w:rsid w:val="00896416"/>
    <w:rsid w:val="00896D13"/>
    <w:rsid w:val="00897B92"/>
    <w:rsid w:val="00897E4D"/>
    <w:rsid w:val="008A00B6"/>
    <w:rsid w:val="008A0441"/>
    <w:rsid w:val="008A09B6"/>
    <w:rsid w:val="008A2752"/>
    <w:rsid w:val="008A44A3"/>
    <w:rsid w:val="008A5B11"/>
    <w:rsid w:val="008A63BB"/>
    <w:rsid w:val="008A6B03"/>
    <w:rsid w:val="008A7FC2"/>
    <w:rsid w:val="008B16B8"/>
    <w:rsid w:val="008B17C5"/>
    <w:rsid w:val="008B33C2"/>
    <w:rsid w:val="008B3E60"/>
    <w:rsid w:val="008B3FA4"/>
    <w:rsid w:val="008B4756"/>
    <w:rsid w:val="008B64C8"/>
    <w:rsid w:val="008C0FC7"/>
    <w:rsid w:val="008C5C16"/>
    <w:rsid w:val="008C6EF0"/>
    <w:rsid w:val="008C7688"/>
    <w:rsid w:val="008D032C"/>
    <w:rsid w:val="008D0B30"/>
    <w:rsid w:val="008D0F56"/>
    <w:rsid w:val="008D1A22"/>
    <w:rsid w:val="008D1BFA"/>
    <w:rsid w:val="008D2A8E"/>
    <w:rsid w:val="008D359F"/>
    <w:rsid w:val="008D5015"/>
    <w:rsid w:val="008D5798"/>
    <w:rsid w:val="008E064A"/>
    <w:rsid w:val="008E09D2"/>
    <w:rsid w:val="008E1088"/>
    <w:rsid w:val="008E2636"/>
    <w:rsid w:val="008E27D8"/>
    <w:rsid w:val="008E2D0C"/>
    <w:rsid w:val="008E3635"/>
    <w:rsid w:val="008E3D3C"/>
    <w:rsid w:val="008E3DFA"/>
    <w:rsid w:val="008E4DF4"/>
    <w:rsid w:val="008E5A33"/>
    <w:rsid w:val="008E5DFC"/>
    <w:rsid w:val="008E6A58"/>
    <w:rsid w:val="008F0E63"/>
    <w:rsid w:val="008F1422"/>
    <w:rsid w:val="008F3A54"/>
    <w:rsid w:val="008F5010"/>
    <w:rsid w:val="008F516D"/>
    <w:rsid w:val="008F51B3"/>
    <w:rsid w:val="008F638A"/>
    <w:rsid w:val="008F67FC"/>
    <w:rsid w:val="008F7030"/>
    <w:rsid w:val="008F7082"/>
    <w:rsid w:val="008F73CF"/>
    <w:rsid w:val="0090053A"/>
    <w:rsid w:val="00900F9F"/>
    <w:rsid w:val="0090103C"/>
    <w:rsid w:val="00901E77"/>
    <w:rsid w:val="009037E7"/>
    <w:rsid w:val="0090466A"/>
    <w:rsid w:val="00904B29"/>
    <w:rsid w:val="0090683A"/>
    <w:rsid w:val="00907286"/>
    <w:rsid w:val="00910A36"/>
    <w:rsid w:val="00911D75"/>
    <w:rsid w:val="0091412D"/>
    <w:rsid w:val="00914458"/>
    <w:rsid w:val="00914CFF"/>
    <w:rsid w:val="009167A8"/>
    <w:rsid w:val="00916EB7"/>
    <w:rsid w:val="0091740A"/>
    <w:rsid w:val="00917C84"/>
    <w:rsid w:val="00920976"/>
    <w:rsid w:val="00921102"/>
    <w:rsid w:val="00921E83"/>
    <w:rsid w:val="00922A8D"/>
    <w:rsid w:val="00923361"/>
    <w:rsid w:val="0092386F"/>
    <w:rsid w:val="009240E5"/>
    <w:rsid w:val="0092424D"/>
    <w:rsid w:val="00925927"/>
    <w:rsid w:val="009267B6"/>
    <w:rsid w:val="009270D7"/>
    <w:rsid w:val="00932B16"/>
    <w:rsid w:val="00932BFD"/>
    <w:rsid w:val="00934AB9"/>
    <w:rsid w:val="00934C6A"/>
    <w:rsid w:val="00935AC4"/>
    <w:rsid w:val="00937165"/>
    <w:rsid w:val="00937579"/>
    <w:rsid w:val="00937966"/>
    <w:rsid w:val="00940E7F"/>
    <w:rsid w:val="00942305"/>
    <w:rsid w:val="00943614"/>
    <w:rsid w:val="0094373F"/>
    <w:rsid w:val="0094469B"/>
    <w:rsid w:val="009478E2"/>
    <w:rsid w:val="00951965"/>
    <w:rsid w:val="00953847"/>
    <w:rsid w:val="00953A79"/>
    <w:rsid w:val="0095431E"/>
    <w:rsid w:val="009543DE"/>
    <w:rsid w:val="009567C4"/>
    <w:rsid w:val="009575CE"/>
    <w:rsid w:val="00957C6E"/>
    <w:rsid w:val="00960011"/>
    <w:rsid w:val="0096154E"/>
    <w:rsid w:val="00963CA5"/>
    <w:rsid w:val="00964BCA"/>
    <w:rsid w:val="00965302"/>
    <w:rsid w:val="00965843"/>
    <w:rsid w:val="00965C62"/>
    <w:rsid w:val="0096767C"/>
    <w:rsid w:val="00970957"/>
    <w:rsid w:val="00971DD7"/>
    <w:rsid w:val="00973D03"/>
    <w:rsid w:val="009767F0"/>
    <w:rsid w:val="0097723F"/>
    <w:rsid w:val="00977996"/>
    <w:rsid w:val="00981460"/>
    <w:rsid w:val="00981B96"/>
    <w:rsid w:val="00983CD4"/>
    <w:rsid w:val="00984907"/>
    <w:rsid w:val="00991C7E"/>
    <w:rsid w:val="00992747"/>
    <w:rsid w:val="009934CD"/>
    <w:rsid w:val="00993ADB"/>
    <w:rsid w:val="00993C17"/>
    <w:rsid w:val="00994481"/>
    <w:rsid w:val="0099629B"/>
    <w:rsid w:val="00996529"/>
    <w:rsid w:val="009A0B0A"/>
    <w:rsid w:val="009A1AD4"/>
    <w:rsid w:val="009A204E"/>
    <w:rsid w:val="009A2758"/>
    <w:rsid w:val="009A2FE6"/>
    <w:rsid w:val="009A337B"/>
    <w:rsid w:val="009A40D3"/>
    <w:rsid w:val="009A4151"/>
    <w:rsid w:val="009A65E5"/>
    <w:rsid w:val="009B2CE5"/>
    <w:rsid w:val="009B32D2"/>
    <w:rsid w:val="009B3B51"/>
    <w:rsid w:val="009B7A10"/>
    <w:rsid w:val="009B7B2A"/>
    <w:rsid w:val="009C0629"/>
    <w:rsid w:val="009C10E3"/>
    <w:rsid w:val="009C1A9C"/>
    <w:rsid w:val="009C3DC8"/>
    <w:rsid w:val="009C4B67"/>
    <w:rsid w:val="009C748B"/>
    <w:rsid w:val="009C76BD"/>
    <w:rsid w:val="009D0F19"/>
    <w:rsid w:val="009D2832"/>
    <w:rsid w:val="009D36B7"/>
    <w:rsid w:val="009D4974"/>
    <w:rsid w:val="009D5BF5"/>
    <w:rsid w:val="009D6138"/>
    <w:rsid w:val="009D67EC"/>
    <w:rsid w:val="009D6BC4"/>
    <w:rsid w:val="009D7DEC"/>
    <w:rsid w:val="009E079E"/>
    <w:rsid w:val="009E136B"/>
    <w:rsid w:val="009E5525"/>
    <w:rsid w:val="009E562B"/>
    <w:rsid w:val="009F114C"/>
    <w:rsid w:val="009F11B9"/>
    <w:rsid w:val="009F18D9"/>
    <w:rsid w:val="009F3F6D"/>
    <w:rsid w:val="009F4CC2"/>
    <w:rsid w:val="009F5AD5"/>
    <w:rsid w:val="009F5D2A"/>
    <w:rsid w:val="009F60C5"/>
    <w:rsid w:val="00A01AF8"/>
    <w:rsid w:val="00A01E14"/>
    <w:rsid w:val="00A0281F"/>
    <w:rsid w:val="00A04396"/>
    <w:rsid w:val="00A057AE"/>
    <w:rsid w:val="00A1058C"/>
    <w:rsid w:val="00A10616"/>
    <w:rsid w:val="00A128C9"/>
    <w:rsid w:val="00A13906"/>
    <w:rsid w:val="00A16349"/>
    <w:rsid w:val="00A201AD"/>
    <w:rsid w:val="00A2025F"/>
    <w:rsid w:val="00A206BC"/>
    <w:rsid w:val="00A20DC6"/>
    <w:rsid w:val="00A21DAB"/>
    <w:rsid w:val="00A22AC2"/>
    <w:rsid w:val="00A23B5D"/>
    <w:rsid w:val="00A240CB"/>
    <w:rsid w:val="00A2553D"/>
    <w:rsid w:val="00A26159"/>
    <w:rsid w:val="00A263CF"/>
    <w:rsid w:val="00A319AE"/>
    <w:rsid w:val="00A33B10"/>
    <w:rsid w:val="00A368A5"/>
    <w:rsid w:val="00A3737F"/>
    <w:rsid w:val="00A43145"/>
    <w:rsid w:val="00A43AF4"/>
    <w:rsid w:val="00A46382"/>
    <w:rsid w:val="00A46A51"/>
    <w:rsid w:val="00A46BEF"/>
    <w:rsid w:val="00A47B63"/>
    <w:rsid w:val="00A50FC8"/>
    <w:rsid w:val="00A51163"/>
    <w:rsid w:val="00A513E5"/>
    <w:rsid w:val="00A518E3"/>
    <w:rsid w:val="00A51A96"/>
    <w:rsid w:val="00A52DDE"/>
    <w:rsid w:val="00A52FD8"/>
    <w:rsid w:val="00A546BC"/>
    <w:rsid w:val="00A54C6B"/>
    <w:rsid w:val="00A55FF1"/>
    <w:rsid w:val="00A61E76"/>
    <w:rsid w:val="00A63956"/>
    <w:rsid w:val="00A64012"/>
    <w:rsid w:val="00A656FE"/>
    <w:rsid w:val="00A65A60"/>
    <w:rsid w:val="00A663BE"/>
    <w:rsid w:val="00A67350"/>
    <w:rsid w:val="00A729EB"/>
    <w:rsid w:val="00A72A2A"/>
    <w:rsid w:val="00A746F0"/>
    <w:rsid w:val="00A74998"/>
    <w:rsid w:val="00A75A4A"/>
    <w:rsid w:val="00A75C86"/>
    <w:rsid w:val="00A75E3F"/>
    <w:rsid w:val="00A76525"/>
    <w:rsid w:val="00A8395E"/>
    <w:rsid w:val="00A846DB"/>
    <w:rsid w:val="00A85755"/>
    <w:rsid w:val="00A85F27"/>
    <w:rsid w:val="00A865BA"/>
    <w:rsid w:val="00A86B72"/>
    <w:rsid w:val="00A904AE"/>
    <w:rsid w:val="00A930D2"/>
    <w:rsid w:val="00A9520F"/>
    <w:rsid w:val="00A95D38"/>
    <w:rsid w:val="00A95F9E"/>
    <w:rsid w:val="00AA53B8"/>
    <w:rsid w:val="00AB1B36"/>
    <w:rsid w:val="00AB2A1C"/>
    <w:rsid w:val="00AB2E53"/>
    <w:rsid w:val="00AB3353"/>
    <w:rsid w:val="00AB3A69"/>
    <w:rsid w:val="00AB3B39"/>
    <w:rsid w:val="00AB52CF"/>
    <w:rsid w:val="00AB6023"/>
    <w:rsid w:val="00AB615C"/>
    <w:rsid w:val="00AB7E94"/>
    <w:rsid w:val="00AC061A"/>
    <w:rsid w:val="00AC1DEC"/>
    <w:rsid w:val="00AC2644"/>
    <w:rsid w:val="00AC35CF"/>
    <w:rsid w:val="00AC39A5"/>
    <w:rsid w:val="00AC5EE9"/>
    <w:rsid w:val="00AC62A7"/>
    <w:rsid w:val="00AD2DA2"/>
    <w:rsid w:val="00AD354B"/>
    <w:rsid w:val="00AD4508"/>
    <w:rsid w:val="00AD6840"/>
    <w:rsid w:val="00AD755D"/>
    <w:rsid w:val="00AE2341"/>
    <w:rsid w:val="00AE2961"/>
    <w:rsid w:val="00AE2AE4"/>
    <w:rsid w:val="00AE475A"/>
    <w:rsid w:val="00AE4EB9"/>
    <w:rsid w:val="00AE645F"/>
    <w:rsid w:val="00AE65BD"/>
    <w:rsid w:val="00AE6A14"/>
    <w:rsid w:val="00AF3C70"/>
    <w:rsid w:val="00AF4024"/>
    <w:rsid w:val="00AF40EB"/>
    <w:rsid w:val="00AF7216"/>
    <w:rsid w:val="00AF7244"/>
    <w:rsid w:val="00B007FE"/>
    <w:rsid w:val="00B019D5"/>
    <w:rsid w:val="00B021E9"/>
    <w:rsid w:val="00B02326"/>
    <w:rsid w:val="00B02C7B"/>
    <w:rsid w:val="00B0501D"/>
    <w:rsid w:val="00B061A1"/>
    <w:rsid w:val="00B0722D"/>
    <w:rsid w:val="00B1030D"/>
    <w:rsid w:val="00B1087E"/>
    <w:rsid w:val="00B11476"/>
    <w:rsid w:val="00B118F3"/>
    <w:rsid w:val="00B14968"/>
    <w:rsid w:val="00B150BE"/>
    <w:rsid w:val="00B1602D"/>
    <w:rsid w:val="00B17509"/>
    <w:rsid w:val="00B21D16"/>
    <w:rsid w:val="00B22284"/>
    <w:rsid w:val="00B23B1F"/>
    <w:rsid w:val="00B23D11"/>
    <w:rsid w:val="00B23DF8"/>
    <w:rsid w:val="00B24797"/>
    <w:rsid w:val="00B255C7"/>
    <w:rsid w:val="00B25795"/>
    <w:rsid w:val="00B264AE"/>
    <w:rsid w:val="00B270BA"/>
    <w:rsid w:val="00B276B6"/>
    <w:rsid w:val="00B27938"/>
    <w:rsid w:val="00B314CB"/>
    <w:rsid w:val="00B3192F"/>
    <w:rsid w:val="00B33465"/>
    <w:rsid w:val="00B33477"/>
    <w:rsid w:val="00B34152"/>
    <w:rsid w:val="00B34C66"/>
    <w:rsid w:val="00B34D01"/>
    <w:rsid w:val="00B354CB"/>
    <w:rsid w:val="00B36861"/>
    <w:rsid w:val="00B36931"/>
    <w:rsid w:val="00B379C3"/>
    <w:rsid w:val="00B40D25"/>
    <w:rsid w:val="00B418FE"/>
    <w:rsid w:val="00B43EEA"/>
    <w:rsid w:val="00B466AE"/>
    <w:rsid w:val="00B50974"/>
    <w:rsid w:val="00B511EA"/>
    <w:rsid w:val="00B51830"/>
    <w:rsid w:val="00B51FF4"/>
    <w:rsid w:val="00B5523C"/>
    <w:rsid w:val="00B553C1"/>
    <w:rsid w:val="00B56855"/>
    <w:rsid w:val="00B62948"/>
    <w:rsid w:val="00B62A1F"/>
    <w:rsid w:val="00B62E87"/>
    <w:rsid w:val="00B6347B"/>
    <w:rsid w:val="00B6420D"/>
    <w:rsid w:val="00B663B4"/>
    <w:rsid w:val="00B6782A"/>
    <w:rsid w:val="00B713F7"/>
    <w:rsid w:val="00B72298"/>
    <w:rsid w:val="00B75E01"/>
    <w:rsid w:val="00B76B0D"/>
    <w:rsid w:val="00B76C81"/>
    <w:rsid w:val="00B8148C"/>
    <w:rsid w:val="00B82727"/>
    <w:rsid w:val="00B82978"/>
    <w:rsid w:val="00B83DFA"/>
    <w:rsid w:val="00B90372"/>
    <w:rsid w:val="00B90D6E"/>
    <w:rsid w:val="00B9137D"/>
    <w:rsid w:val="00B938EF"/>
    <w:rsid w:val="00B9586A"/>
    <w:rsid w:val="00B95C84"/>
    <w:rsid w:val="00B976B7"/>
    <w:rsid w:val="00B97A0F"/>
    <w:rsid w:val="00BA0662"/>
    <w:rsid w:val="00BA0B34"/>
    <w:rsid w:val="00BA0E73"/>
    <w:rsid w:val="00BA1645"/>
    <w:rsid w:val="00BA164F"/>
    <w:rsid w:val="00BA3270"/>
    <w:rsid w:val="00BA3653"/>
    <w:rsid w:val="00BA3821"/>
    <w:rsid w:val="00BA38AC"/>
    <w:rsid w:val="00BA3926"/>
    <w:rsid w:val="00BA3FA6"/>
    <w:rsid w:val="00BA4284"/>
    <w:rsid w:val="00BA53BB"/>
    <w:rsid w:val="00BA6483"/>
    <w:rsid w:val="00BA6CE0"/>
    <w:rsid w:val="00BA7C72"/>
    <w:rsid w:val="00BB1492"/>
    <w:rsid w:val="00BB14AD"/>
    <w:rsid w:val="00BB14DF"/>
    <w:rsid w:val="00BB1FD4"/>
    <w:rsid w:val="00BB3C49"/>
    <w:rsid w:val="00BB4E06"/>
    <w:rsid w:val="00BB58A7"/>
    <w:rsid w:val="00BB677B"/>
    <w:rsid w:val="00BC36F4"/>
    <w:rsid w:val="00BC3D31"/>
    <w:rsid w:val="00BC4958"/>
    <w:rsid w:val="00BD1143"/>
    <w:rsid w:val="00BD1750"/>
    <w:rsid w:val="00BD649A"/>
    <w:rsid w:val="00BD77BD"/>
    <w:rsid w:val="00BD7D96"/>
    <w:rsid w:val="00BE2444"/>
    <w:rsid w:val="00BE2F39"/>
    <w:rsid w:val="00BE5254"/>
    <w:rsid w:val="00BE52F1"/>
    <w:rsid w:val="00BE5CCB"/>
    <w:rsid w:val="00BF1B77"/>
    <w:rsid w:val="00BF699C"/>
    <w:rsid w:val="00BF6B2B"/>
    <w:rsid w:val="00BF7221"/>
    <w:rsid w:val="00BF76B0"/>
    <w:rsid w:val="00BF7AE5"/>
    <w:rsid w:val="00C01800"/>
    <w:rsid w:val="00C030EB"/>
    <w:rsid w:val="00C0323B"/>
    <w:rsid w:val="00C045AF"/>
    <w:rsid w:val="00C05947"/>
    <w:rsid w:val="00C065F2"/>
    <w:rsid w:val="00C06E7B"/>
    <w:rsid w:val="00C07354"/>
    <w:rsid w:val="00C10FE1"/>
    <w:rsid w:val="00C11E3B"/>
    <w:rsid w:val="00C1207B"/>
    <w:rsid w:val="00C122BB"/>
    <w:rsid w:val="00C12377"/>
    <w:rsid w:val="00C12BF0"/>
    <w:rsid w:val="00C1392B"/>
    <w:rsid w:val="00C15DF9"/>
    <w:rsid w:val="00C165B6"/>
    <w:rsid w:val="00C1695F"/>
    <w:rsid w:val="00C16DA4"/>
    <w:rsid w:val="00C16F18"/>
    <w:rsid w:val="00C16F27"/>
    <w:rsid w:val="00C24414"/>
    <w:rsid w:val="00C2444A"/>
    <w:rsid w:val="00C24BDE"/>
    <w:rsid w:val="00C25202"/>
    <w:rsid w:val="00C25662"/>
    <w:rsid w:val="00C26EBC"/>
    <w:rsid w:val="00C30857"/>
    <w:rsid w:val="00C31020"/>
    <w:rsid w:val="00C32D81"/>
    <w:rsid w:val="00C33CD0"/>
    <w:rsid w:val="00C346C3"/>
    <w:rsid w:val="00C346CD"/>
    <w:rsid w:val="00C409E8"/>
    <w:rsid w:val="00C41843"/>
    <w:rsid w:val="00C42699"/>
    <w:rsid w:val="00C4327B"/>
    <w:rsid w:val="00C43D53"/>
    <w:rsid w:val="00C440A3"/>
    <w:rsid w:val="00C45C44"/>
    <w:rsid w:val="00C468E7"/>
    <w:rsid w:val="00C46A1B"/>
    <w:rsid w:val="00C46D12"/>
    <w:rsid w:val="00C4757F"/>
    <w:rsid w:val="00C4770F"/>
    <w:rsid w:val="00C516CE"/>
    <w:rsid w:val="00C5194C"/>
    <w:rsid w:val="00C51DD9"/>
    <w:rsid w:val="00C52890"/>
    <w:rsid w:val="00C54094"/>
    <w:rsid w:val="00C55885"/>
    <w:rsid w:val="00C55DC2"/>
    <w:rsid w:val="00C573CB"/>
    <w:rsid w:val="00C57B39"/>
    <w:rsid w:val="00C60382"/>
    <w:rsid w:val="00C60718"/>
    <w:rsid w:val="00C60978"/>
    <w:rsid w:val="00C60C94"/>
    <w:rsid w:val="00C63BB6"/>
    <w:rsid w:val="00C6481D"/>
    <w:rsid w:val="00C65273"/>
    <w:rsid w:val="00C657A7"/>
    <w:rsid w:val="00C66A71"/>
    <w:rsid w:val="00C71C97"/>
    <w:rsid w:val="00C7352D"/>
    <w:rsid w:val="00C73586"/>
    <w:rsid w:val="00C735E1"/>
    <w:rsid w:val="00C73AA1"/>
    <w:rsid w:val="00C743AF"/>
    <w:rsid w:val="00C76004"/>
    <w:rsid w:val="00C76885"/>
    <w:rsid w:val="00C76B66"/>
    <w:rsid w:val="00C777FA"/>
    <w:rsid w:val="00C831FF"/>
    <w:rsid w:val="00C84960"/>
    <w:rsid w:val="00C85A35"/>
    <w:rsid w:val="00C8746E"/>
    <w:rsid w:val="00C87857"/>
    <w:rsid w:val="00C87CFA"/>
    <w:rsid w:val="00C90DFC"/>
    <w:rsid w:val="00C90FDB"/>
    <w:rsid w:val="00C920C4"/>
    <w:rsid w:val="00C92FFF"/>
    <w:rsid w:val="00C96194"/>
    <w:rsid w:val="00C978CB"/>
    <w:rsid w:val="00CA00F0"/>
    <w:rsid w:val="00CA50E1"/>
    <w:rsid w:val="00CA60F2"/>
    <w:rsid w:val="00CA6637"/>
    <w:rsid w:val="00CA7414"/>
    <w:rsid w:val="00CB0D49"/>
    <w:rsid w:val="00CB1D06"/>
    <w:rsid w:val="00CB299F"/>
    <w:rsid w:val="00CB478B"/>
    <w:rsid w:val="00CB4BAC"/>
    <w:rsid w:val="00CB56E1"/>
    <w:rsid w:val="00CB627C"/>
    <w:rsid w:val="00CB7957"/>
    <w:rsid w:val="00CC14B7"/>
    <w:rsid w:val="00CC18CC"/>
    <w:rsid w:val="00CC2949"/>
    <w:rsid w:val="00CC4374"/>
    <w:rsid w:val="00CC5275"/>
    <w:rsid w:val="00CC5784"/>
    <w:rsid w:val="00CC74B7"/>
    <w:rsid w:val="00CD254F"/>
    <w:rsid w:val="00CD487B"/>
    <w:rsid w:val="00CD708A"/>
    <w:rsid w:val="00CE136C"/>
    <w:rsid w:val="00CE2B32"/>
    <w:rsid w:val="00CE2CDD"/>
    <w:rsid w:val="00CE321E"/>
    <w:rsid w:val="00CE39AE"/>
    <w:rsid w:val="00CE3ACD"/>
    <w:rsid w:val="00CE6A5B"/>
    <w:rsid w:val="00CE6AC8"/>
    <w:rsid w:val="00CE707A"/>
    <w:rsid w:val="00CE719C"/>
    <w:rsid w:val="00CE7958"/>
    <w:rsid w:val="00CE7999"/>
    <w:rsid w:val="00CF0B50"/>
    <w:rsid w:val="00CF270F"/>
    <w:rsid w:val="00CF3BA5"/>
    <w:rsid w:val="00CF539C"/>
    <w:rsid w:val="00CF53F0"/>
    <w:rsid w:val="00CF581A"/>
    <w:rsid w:val="00CF5E73"/>
    <w:rsid w:val="00CF784E"/>
    <w:rsid w:val="00D00876"/>
    <w:rsid w:val="00D00ECB"/>
    <w:rsid w:val="00D01A51"/>
    <w:rsid w:val="00D01B65"/>
    <w:rsid w:val="00D02894"/>
    <w:rsid w:val="00D04483"/>
    <w:rsid w:val="00D0482C"/>
    <w:rsid w:val="00D04860"/>
    <w:rsid w:val="00D05D5A"/>
    <w:rsid w:val="00D06265"/>
    <w:rsid w:val="00D06F53"/>
    <w:rsid w:val="00D104FB"/>
    <w:rsid w:val="00D128BD"/>
    <w:rsid w:val="00D14A56"/>
    <w:rsid w:val="00D15A28"/>
    <w:rsid w:val="00D1723E"/>
    <w:rsid w:val="00D20196"/>
    <w:rsid w:val="00D201DF"/>
    <w:rsid w:val="00D20B5E"/>
    <w:rsid w:val="00D21F6F"/>
    <w:rsid w:val="00D222CB"/>
    <w:rsid w:val="00D2272F"/>
    <w:rsid w:val="00D22869"/>
    <w:rsid w:val="00D2286A"/>
    <w:rsid w:val="00D2310A"/>
    <w:rsid w:val="00D23452"/>
    <w:rsid w:val="00D2403F"/>
    <w:rsid w:val="00D24367"/>
    <w:rsid w:val="00D257C0"/>
    <w:rsid w:val="00D30E43"/>
    <w:rsid w:val="00D30ED6"/>
    <w:rsid w:val="00D30EE0"/>
    <w:rsid w:val="00D31F20"/>
    <w:rsid w:val="00D33836"/>
    <w:rsid w:val="00D33F08"/>
    <w:rsid w:val="00D36F25"/>
    <w:rsid w:val="00D41178"/>
    <w:rsid w:val="00D4343C"/>
    <w:rsid w:val="00D43544"/>
    <w:rsid w:val="00D43D5F"/>
    <w:rsid w:val="00D45079"/>
    <w:rsid w:val="00D45C5E"/>
    <w:rsid w:val="00D45D90"/>
    <w:rsid w:val="00D46F97"/>
    <w:rsid w:val="00D47C0C"/>
    <w:rsid w:val="00D50B6F"/>
    <w:rsid w:val="00D51C0B"/>
    <w:rsid w:val="00D5207A"/>
    <w:rsid w:val="00D52996"/>
    <w:rsid w:val="00D52EA2"/>
    <w:rsid w:val="00D541AD"/>
    <w:rsid w:val="00D60C80"/>
    <w:rsid w:val="00D61753"/>
    <w:rsid w:val="00D61C86"/>
    <w:rsid w:val="00D62180"/>
    <w:rsid w:val="00D6318C"/>
    <w:rsid w:val="00D63793"/>
    <w:rsid w:val="00D67C8F"/>
    <w:rsid w:val="00D67CE3"/>
    <w:rsid w:val="00D67FCD"/>
    <w:rsid w:val="00D70D04"/>
    <w:rsid w:val="00D71138"/>
    <w:rsid w:val="00D7171F"/>
    <w:rsid w:val="00D71DDD"/>
    <w:rsid w:val="00D72018"/>
    <w:rsid w:val="00D7409C"/>
    <w:rsid w:val="00D74117"/>
    <w:rsid w:val="00D74816"/>
    <w:rsid w:val="00D7793B"/>
    <w:rsid w:val="00D80B3B"/>
    <w:rsid w:val="00D810A8"/>
    <w:rsid w:val="00D812C4"/>
    <w:rsid w:val="00D8189C"/>
    <w:rsid w:val="00D81A0A"/>
    <w:rsid w:val="00D841E9"/>
    <w:rsid w:val="00D84A57"/>
    <w:rsid w:val="00D857E3"/>
    <w:rsid w:val="00D85FC1"/>
    <w:rsid w:val="00D87C23"/>
    <w:rsid w:val="00D9012A"/>
    <w:rsid w:val="00D90BFF"/>
    <w:rsid w:val="00D92204"/>
    <w:rsid w:val="00D92D0C"/>
    <w:rsid w:val="00D95AC1"/>
    <w:rsid w:val="00DA0463"/>
    <w:rsid w:val="00DA0AD4"/>
    <w:rsid w:val="00DA186C"/>
    <w:rsid w:val="00DA1CC6"/>
    <w:rsid w:val="00DA2A47"/>
    <w:rsid w:val="00DA2D2C"/>
    <w:rsid w:val="00DA3583"/>
    <w:rsid w:val="00DA3A22"/>
    <w:rsid w:val="00DA413D"/>
    <w:rsid w:val="00DA6215"/>
    <w:rsid w:val="00DA6B38"/>
    <w:rsid w:val="00DB0B84"/>
    <w:rsid w:val="00DB2878"/>
    <w:rsid w:val="00DB2C3C"/>
    <w:rsid w:val="00DB4DA9"/>
    <w:rsid w:val="00DB52E0"/>
    <w:rsid w:val="00DB5344"/>
    <w:rsid w:val="00DB5A9E"/>
    <w:rsid w:val="00DB6A99"/>
    <w:rsid w:val="00DB799F"/>
    <w:rsid w:val="00DC0838"/>
    <w:rsid w:val="00DC0B6A"/>
    <w:rsid w:val="00DC2F77"/>
    <w:rsid w:val="00DC4266"/>
    <w:rsid w:val="00DC5F7E"/>
    <w:rsid w:val="00DC7E07"/>
    <w:rsid w:val="00DD0721"/>
    <w:rsid w:val="00DD497A"/>
    <w:rsid w:val="00DD6AE2"/>
    <w:rsid w:val="00DE07CC"/>
    <w:rsid w:val="00DE3A85"/>
    <w:rsid w:val="00DE4CA4"/>
    <w:rsid w:val="00DE51BF"/>
    <w:rsid w:val="00DF27DD"/>
    <w:rsid w:val="00DF45A3"/>
    <w:rsid w:val="00DF5BF2"/>
    <w:rsid w:val="00DF623E"/>
    <w:rsid w:val="00E00B97"/>
    <w:rsid w:val="00E05711"/>
    <w:rsid w:val="00E0660C"/>
    <w:rsid w:val="00E1016E"/>
    <w:rsid w:val="00E10254"/>
    <w:rsid w:val="00E1172D"/>
    <w:rsid w:val="00E122AD"/>
    <w:rsid w:val="00E12FB4"/>
    <w:rsid w:val="00E14253"/>
    <w:rsid w:val="00E15BBD"/>
    <w:rsid w:val="00E161FE"/>
    <w:rsid w:val="00E1625C"/>
    <w:rsid w:val="00E20CD6"/>
    <w:rsid w:val="00E21953"/>
    <w:rsid w:val="00E21A46"/>
    <w:rsid w:val="00E241D5"/>
    <w:rsid w:val="00E243CF"/>
    <w:rsid w:val="00E25515"/>
    <w:rsid w:val="00E25892"/>
    <w:rsid w:val="00E279EE"/>
    <w:rsid w:val="00E31D9E"/>
    <w:rsid w:val="00E31EB3"/>
    <w:rsid w:val="00E3271C"/>
    <w:rsid w:val="00E344F6"/>
    <w:rsid w:val="00E3474A"/>
    <w:rsid w:val="00E35760"/>
    <w:rsid w:val="00E40DBF"/>
    <w:rsid w:val="00E413DB"/>
    <w:rsid w:val="00E41FDD"/>
    <w:rsid w:val="00E4384C"/>
    <w:rsid w:val="00E43B35"/>
    <w:rsid w:val="00E43CA1"/>
    <w:rsid w:val="00E4422D"/>
    <w:rsid w:val="00E44386"/>
    <w:rsid w:val="00E450A6"/>
    <w:rsid w:val="00E46996"/>
    <w:rsid w:val="00E4733C"/>
    <w:rsid w:val="00E4766B"/>
    <w:rsid w:val="00E47B88"/>
    <w:rsid w:val="00E52797"/>
    <w:rsid w:val="00E533BA"/>
    <w:rsid w:val="00E53495"/>
    <w:rsid w:val="00E5350F"/>
    <w:rsid w:val="00E53A16"/>
    <w:rsid w:val="00E53F7D"/>
    <w:rsid w:val="00E544F8"/>
    <w:rsid w:val="00E574FB"/>
    <w:rsid w:val="00E57CE7"/>
    <w:rsid w:val="00E609BC"/>
    <w:rsid w:val="00E6136B"/>
    <w:rsid w:val="00E66BD6"/>
    <w:rsid w:val="00E670CC"/>
    <w:rsid w:val="00E67661"/>
    <w:rsid w:val="00E71291"/>
    <w:rsid w:val="00E7564B"/>
    <w:rsid w:val="00E766B2"/>
    <w:rsid w:val="00E768CC"/>
    <w:rsid w:val="00E77976"/>
    <w:rsid w:val="00E813B1"/>
    <w:rsid w:val="00E817CD"/>
    <w:rsid w:val="00E81AFA"/>
    <w:rsid w:val="00E82B2A"/>
    <w:rsid w:val="00E8356A"/>
    <w:rsid w:val="00E8373A"/>
    <w:rsid w:val="00E83A97"/>
    <w:rsid w:val="00E84986"/>
    <w:rsid w:val="00E85852"/>
    <w:rsid w:val="00E86D3B"/>
    <w:rsid w:val="00E873F9"/>
    <w:rsid w:val="00E87933"/>
    <w:rsid w:val="00E87BEE"/>
    <w:rsid w:val="00E90835"/>
    <w:rsid w:val="00E94A84"/>
    <w:rsid w:val="00E9528D"/>
    <w:rsid w:val="00E95FE7"/>
    <w:rsid w:val="00E96786"/>
    <w:rsid w:val="00E967D4"/>
    <w:rsid w:val="00E9714A"/>
    <w:rsid w:val="00E976B5"/>
    <w:rsid w:val="00EA0415"/>
    <w:rsid w:val="00EA2DDF"/>
    <w:rsid w:val="00EA434A"/>
    <w:rsid w:val="00EA44C5"/>
    <w:rsid w:val="00EA5A17"/>
    <w:rsid w:val="00EA5E6E"/>
    <w:rsid w:val="00EA5F6D"/>
    <w:rsid w:val="00EA600B"/>
    <w:rsid w:val="00EA6C7C"/>
    <w:rsid w:val="00EA7C8F"/>
    <w:rsid w:val="00EB19A2"/>
    <w:rsid w:val="00EB2677"/>
    <w:rsid w:val="00EB2FD9"/>
    <w:rsid w:val="00EB3975"/>
    <w:rsid w:val="00EB6DE1"/>
    <w:rsid w:val="00EB7ADF"/>
    <w:rsid w:val="00EC000A"/>
    <w:rsid w:val="00EC0108"/>
    <w:rsid w:val="00EC1105"/>
    <w:rsid w:val="00EC1125"/>
    <w:rsid w:val="00EC1F1D"/>
    <w:rsid w:val="00EC437B"/>
    <w:rsid w:val="00EC6819"/>
    <w:rsid w:val="00ED08D8"/>
    <w:rsid w:val="00ED39D9"/>
    <w:rsid w:val="00ED3AE7"/>
    <w:rsid w:val="00ED40F8"/>
    <w:rsid w:val="00ED4453"/>
    <w:rsid w:val="00ED63F6"/>
    <w:rsid w:val="00ED6808"/>
    <w:rsid w:val="00ED68A7"/>
    <w:rsid w:val="00ED7D2B"/>
    <w:rsid w:val="00EE08EE"/>
    <w:rsid w:val="00EE1012"/>
    <w:rsid w:val="00EE36CA"/>
    <w:rsid w:val="00EE5E0A"/>
    <w:rsid w:val="00EE5EA3"/>
    <w:rsid w:val="00EE6972"/>
    <w:rsid w:val="00EE75D2"/>
    <w:rsid w:val="00EE767E"/>
    <w:rsid w:val="00EF3327"/>
    <w:rsid w:val="00EF405F"/>
    <w:rsid w:val="00EF45B8"/>
    <w:rsid w:val="00EF4907"/>
    <w:rsid w:val="00EF6471"/>
    <w:rsid w:val="00EF6806"/>
    <w:rsid w:val="00EF6A83"/>
    <w:rsid w:val="00EF6C26"/>
    <w:rsid w:val="00EF7A6E"/>
    <w:rsid w:val="00EF7BC7"/>
    <w:rsid w:val="00EF7E7D"/>
    <w:rsid w:val="00F00060"/>
    <w:rsid w:val="00F01BA2"/>
    <w:rsid w:val="00F01D9D"/>
    <w:rsid w:val="00F03117"/>
    <w:rsid w:val="00F04D7D"/>
    <w:rsid w:val="00F04F37"/>
    <w:rsid w:val="00F053A0"/>
    <w:rsid w:val="00F076BF"/>
    <w:rsid w:val="00F078ED"/>
    <w:rsid w:val="00F121FB"/>
    <w:rsid w:val="00F123C2"/>
    <w:rsid w:val="00F1299A"/>
    <w:rsid w:val="00F15D28"/>
    <w:rsid w:val="00F17F70"/>
    <w:rsid w:val="00F21025"/>
    <w:rsid w:val="00F227E3"/>
    <w:rsid w:val="00F23526"/>
    <w:rsid w:val="00F23B45"/>
    <w:rsid w:val="00F23E24"/>
    <w:rsid w:val="00F25237"/>
    <w:rsid w:val="00F26417"/>
    <w:rsid w:val="00F27054"/>
    <w:rsid w:val="00F30F6F"/>
    <w:rsid w:val="00F313DF"/>
    <w:rsid w:val="00F31DA6"/>
    <w:rsid w:val="00F32556"/>
    <w:rsid w:val="00F325FD"/>
    <w:rsid w:val="00F3280D"/>
    <w:rsid w:val="00F32FCF"/>
    <w:rsid w:val="00F36E11"/>
    <w:rsid w:val="00F41692"/>
    <w:rsid w:val="00F42115"/>
    <w:rsid w:val="00F43577"/>
    <w:rsid w:val="00F436C0"/>
    <w:rsid w:val="00F44067"/>
    <w:rsid w:val="00F4522C"/>
    <w:rsid w:val="00F5064E"/>
    <w:rsid w:val="00F50D81"/>
    <w:rsid w:val="00F523C8"/>
    <w:rsid w:val="00F528ED"/>
    <w:rsid w:val="00F53AC3"/>
    <w:rsid w:val="00F53BE1"/>
    <w:rsid w:val="00F54D9E"/>
    <w:rsid w:val="00F57051"/>
    <w:rsid w:val="00F57862"/>
    <w:rsid w:val="00F578BA"/>
    <w:rsid w:val="00F604AB"/>
    <w:rsid w:val="00F60F73"/>
    <w:rsid w:val="00F6176C"/>
    <w:rsid w:val="00F627B3"/>
    <w:rsid w:val="00F638E9"/>
    <w:rsid w:val="00F64A51"/>
    <w:rsid w:val="00F64D3F"/>
    <w:rsid w:val="00F652AC"/>
    <w:rsid w:val="00F67884"/>
    <w:rsid w:val="00F67A2A"/>
    <w:rsid w:val="00F67AD1"/>
    <w:rsid w:val="00F67FE2"/>
    <w:rsid w:val="00F71AA4"/>
    <w:rsid w:val="00F72AED"/>
    <w:rsid w:val="00F72F71"/>
    <w:rsid w:val="00F73BFB"/>
    <w:rsid w:val="00F76CD2"/>
    <w:rsid w:val="00F7785C"/>
    <w:rsid w:val="00F77A73"/>
    <w:rsid w:val="00F80F4F"/>
    <w:rsid w:val="00F8182D"/>
    <w:rsid w:val="00F82C8C"/>
    <w:rsid w:val="00F82FAD"/>
    <w:rsid w:val="00F84D81"/>
    <w:rsid w:val="00F85089"/>
    <w:rsid w:val="00F850C6"/>
    <w:rsid w:val="00F8520E"/>
    <w:rsid w:val="00F85430"/>
    <w:rsid w:val="00F86241"/>
    <w:rsid w:val="00F86CE7"/>
    <w:rsid w:val="00F87F7B"/>
    <w:rsid w:val="00F90835"/>
    <w:rsid w:val="00F91A35"/>
    <w:rsid w:val="00F92207"/>
    <w:rsid w:val="00F92630"/>
    <w:rsid w:val="00F92AE2"/>
    <w:rsid w:val="00F94625"/>
    <w:rsid w:val="00F94725"/>
    <w:rsid w:val="00F94752"/>
    <w:rsid w:val="00F94E4D"/>
    <w:rsid w:val="00F962E7"/>
    <w:rsid w:val="00FA1ED1"/>
    <w:rsid w:val="00FA26E5"/>
    <w:rsid w:val="00FA47B2"/>
    <w:rsid w:val="00FA4C62"/>
    <w:rsid w:val="00FA595A"/>
    <w:rsid w:val="00FA6378"/>
    <w:rsid w:val="00FA68BC"/>
    <w:rsid w:val="00FA6EAA"/>
    <w:rsid w:val="00FA70BE"/>
    <w:rsid w:val="00FA70EF"/>
    <w:rsid w:val="00FB1055"/>
    <w:rsid w:val="00FB1B5A"/>
    <w:rsid w:val="00FB27C6"/>
    <w:rsid w:val="00FB449D"/>
    <w:rsid w:val="00FB6AD9"/>
    <w:rsid w:val="00FC10A0"/>
    <w:rsid w:val="00FC2F11"/>
    <w:rsid w:val="00FC470F"/>
    <w:rsid w:val="00FC73E1"/>
    <w:rsid w:val="00FC7E22"/>
    <w:rsid w:val="00FD0C03"/>
    <w:rsid w:val="00FD4051"/>
    <w:rsid w:val="00FD55DC"/>
    <w:rsid w:val="00FE153C"/>
    <w:rsid w:val="00FE6B69"/>
    <w:rsid w:val="00FE6D28"/>
    <w:rsid w:val="00FE6E08"/>
    <w:rsid w:val="00FE76F3"/>
    <w:rsid w:val="00FE7996"/>
    <w:rsid w:val="00FF0DF7"/>
    <w:rsid w:val="00FF0F78"/>
    <w:rsid w:val="00FF2455"/>
    <w:rsid w:val="00FF2AFD"/>
    <w:rsid w:val="00FF30C5"/>
    <w:rsid w:val="00FF38B8"/>
    <w:rsid w:val="00FF3C62"/>
    <w:rsid w:val="00FF4B43"/>
    <w:rsid w:val="00FF4BA3"/>
    <w:rsid w:val="00FF5271"/>
    <w:rsid w:val="00FF675A"/>
    <w:rsid w:val="00FF79F0"/>
    <w:rsid w:val="00FF7EFE"/>
  </w:rsids>
  <m:mathPr>
    <m:mathFont m:val="Cambria Math"/>
    <m:brkBin m:val="before"/>
    <m:brkBinSub m:val="--"/>
    <m:smallFrac/>
    <m:dispDef/>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877E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annotation text" w:uiPriority="99"/>
    <w:lsdException w:name="table of figures" w:uiPriority="99"/>
    <w:lsdException w:name="annotation reference" w:uiPriority="99"/>
    <w:lsdException w:name="Title" w:qFormat="1"/>
    <w:lsdException w:name="Body Text Indent" w:uiPriority="99"/>
    <w:lsdException w:name="Plain Text" w:uiPriority="99"/>
    <w:lsdException w:name="Normal (Web)" w:uiPriority="99"/>
    <w:lsdException w:name="No List" w:uiPriority="99"/>
    <w:lsdException w:name="Table Grid" w:uiPriority="59"/>
    <w:lsdException w:name="List Paragraph" w:uiPriority="34" w:qFormat="1"/>
  </w:latentStyles>
  <w:style w:type="paragraph" w:default="1" w:styleId="Normal">
    <w:name w:val="Normal"/>
    <w:qFormat/>
    <w:rsid w:val="00FF5271"/>
    <w:pPr>
      <w:spacing w:after="120" w:line="320" w:lineRule="exact"/>
      <w:jc w:val="both"/>
    </w:pPr>
    <w:rPr>
      <w:rFonts w:ascii="Times New Roman" w:hAnsi="Times New Roman"/>
      <w:bCs/>
      <w:sz w:val="22"/>
      <w:lang w:val="en-GB"/>
    </w:rPr>
  </w:style>
  <w:style w:type="paragraph" w:styleId="Heading1">
    <w:name w:val="heading 1"/>
    <w:basedOn w:val="Normal"/>
    <w:next w:val="Normal"/>
    <w:link w:val="Heading1Char"/>
    <w:qFormat/>
    <w:rsid w:val="001B44DE"/>
    <w:pPr>
      <w:keepNext/>
      <w:keepLines/>
      <w:numPr>
        <w:numId w:val="14"/>
      </w:numPr>
      <w:pBdr>
        <w:bottom w:val="single" w:sz="4" w:space="1" w:color="auto"/>
      </w:pBdr>
      <w:spacing w:before="480" w:line="240" w:lineRule="auto"/>
      <w:outlineLvl w:val="0"/>
    </w:pPr>
    <w:rPr>
      <w:rFonts w:ascii="Arial" w:eastAsia="Times New Roman" w:hAnsi="Arial" w:cs="Times New Roman"/>
      <w:bCs w:val="0"/>
      <w:caps/>
      <w:sz w:val="32"/>
      <w:lang w:val="en-NZ"/>
    </w:rPr>
  </w:style>
  <w:style w:type="paragraph" w:styleId="Heading2">
    <w:name w:val="heading 2"/>
    <w:basedOn w:val="Normal"/>
    <w:next w:val="Normal"/>
    <w:link w:val="Heading2Char"/>
    <w:unhideWhenUsed/>
    <w:qFormat/>
    <w:rsid w:val="001B44DE"/>
    <w:pPr>
      <w:keepNext/>
      <w:keepLines/>
      <w:numPr>
        <w:ilvl w:val="1"/>
        <w:numId w:val="14"/>
      </w:numPr>
      <w:tabs>
        <w:tab w:val="clear" w:pos="709"/>
        <w:tab w:val="num" w:pos="567"/>
      </w:tabs>
      <w:spacing w:before="200" w:line="240" w:lineRule="auto"/>
      <w:ind w:left="567"/>
      <w:outlineLvl w:val="1"/>
    </w:pPr>
    <w:rPr>
      <w:rFonts w:ascii="Arial" w:eastAsiaTheme="majorEastAsia" w:hAnsi="Arial" w:cstheme="majorBidi"/>
      <w:bCs w:val="0"/>
      <w:color w:val="000000" w:themeColor="text1"/>
      <w:sz w:val="28"/>
      <w:szCs w:val="26"/>
    </w:rPr>
  </w:style>
  <w:style w:type="paragraph" w:styleId="Heading3">
    <w:name w:val="heading 3"/>
    <w:basedOn w:val="Normal"/>
    <w:next w:val="Normal"/>
    <w:link w:val="Heading3Char"/>
    <w:unhideWhenUsed/>
    <w:qFormat/>
    <w:rsid w:val="001B44DE"/>
    <w:pPr>
      <w:keepNext/>
      <w:keepLines/>
      <w:spacing w:before="200" w:after="0"/>
      <w:ind w:left="720" w:hanging="720"/>
      <w:outlineLvl w:val="2"/>
    </w:pPr>
    <w:rPr>
      <w:rFonts w:ascii="Arial" w:eastAsiaTheme="majorEastAsia" w:hAnsi="Arial" w:cstheme="majorBidi"/>
      <w:b/>
      <w:bCs w:val="0"/>
      <w:color w:val="000000" w:themeColor="text1"/>
    </w:rPr>
  </w:style>
  <w:style w:type="paragraph" w:styleId="Heading4">
    <w:name w:val="heading 4"/>
    <w:basedOn w:val="Normal"/>
    <w:next w:val="Normal"/>
    <w:link w:val="Heading4Char"/>
    <w:qFormat/>
    <w:rsid w:val="001B44DE"/>
    <w:pPr>
      <w:keepNext/>
      <w:keepLines/>
      <w:numPr>
        <w:ilvl w:val="3"/>
        <w:numId w:val="3"/>
      </w:numPr>
      <w:spacing w:before="200"/>
      <w:outlineLvl w:val="3"/>
    </w:pPr>
    <w:rPr>
      <w:rFonts w:asciiTheme="majorHAnsi" w:eastAsiaTheme="majorEastAsia" w:hAnsiTheme="majorHAnsi" w:cstheme="majorBidi"/>
      <w:b/>
      <w:bCs w:val="0"/>
      <w:i/>
      <w:iCs/>
      <w:color w:val="4F81BD" w:themeColor="accent1"/>
    </w:rPr>
  </w:style>
  <w:style w:type="paragraph" w:styleId="Heading5">
    <w:name w:val="heading 5"/>
    <w:basedOn w:val="Normal"/>
    <w:next w:val="Normal"/>
    <w:link w:val="Heading5Char"/>
    <w:qFormat/>
    <w:rsid w:val="001B44DE"/>
    <w:pPr>
      <w:keepNext/>
      <w:keepLines/>
      <w:numPr>
        <w:ilvl w:val="4"/>
        <w:numId w:val="3"/>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1B44DE"/>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1B44D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1B44DE"/>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1B44DE"/>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D6EF4"/>
    <w:rPr>
      <w:rFonts w:ascii="Lucida Grande" w:hAnsi="Lucida Grande"/>
      <w:sz w:val="18"/>
      <w:szCs w:val="18"/>
    </w:rPr>
  </w:style>
  <w:style w:type="character" w:customStyle="1" w:styleId="BalloonTextChar">
    <w:name w:val="Balloon Text Char"/>
    <w:basedOn w:val="DefaultParagraphFont"/>
    <w:uiPriority w:val="99"/>
    <w:semiHidden/>
    <w:rsid w:val="00FB6BEA"/>
    <w:rPr>
      <w:rFonts w:ascii="Lucida Grande" w:hAnsi="Lucida Grande"/>
      <w:sz w:val="18"/>
      <w:szCs w:val="18"/>
    </w:rPr>
  </w:style>
  <w:style w:type="character" w:customStyle="1" w:styleId="BalloonTextChar0">
    <w:name w:val="Balloon Text Char"/>
    <w:basedOn w:val="DefaultParagraphFont"/>
    <w:uiPriority w:val="99"/>
    <w:semiHidden/>
    <w:rsid w:val="00FB6BEA"/>
    <w:rPr>
      <w:rFonts w:ascii="Lucida Grande" w:hAnsi="Lucida Grande"/>
      <w:sz w:val="18"/>
      <w:szCs w:val="18"/>
    </w:rPr>
  </w:style>
  <w:style w:type="character" w:customStyle="1" w:styleId="BalloonTextChar2">
    <w:name w:val="Balloon Text Char"/>
    <w:basedOn w:val="DefaultParagraphFont"/>
    <w:uiPriority w:val="99"/>
    <w:semiHidden/>
    <w:rsid w:val="00FB6BEA"/>
    <w:rPr>
      <w:rFonts w:ascii="Lucida Grande" w:hAnsi="Lucida Grande"/>
      <w:sz w:val="18"/>
      <w:szCs w:val="18"/>
    </w:rPr>
  </w:style>
  <w:style w:type="character" w:customStyle="1" w:styleId="BalloonTextChar3">
    <w:name w:val="Balloon Text Char"/>
    <w:basedOn w:val="DefaultParagraphFont"/>
    <w:uiPriority w:val="99"/>
    <w:semiHidden/>
    <w:rsid w:val="0031409C"/>
    <w:rPr>
      <w:rFonts w:ascii="Lucida Grande" w:hAnsi="Lucida Grande"/>
      <w:sz w:val="18"/>
      <w:szCs w:val="18"/>
    </w:rPr>
  </w:style>
  <w:style w:type="character" w:customStyle="1" w:styleId="BalloonTextChar4">
    <w:name w:val="Balloon Text Char"/>
    <w:basedOn w:val="DefaultParagraphFont"/>
    <w:uiPriority w:val="99"/>
    <w:semiHidden/>
    <w:rsid w:val="0031409C"/>
    <w:rPr>
      <w:rFonts w:ascii="Lucida Grande" w:hAnsi="Lucida Grande"/>
      <w:sz w:val="18"/>
      <w:szCs w:val="18"/>
    </w:rPr>
  </w:style>
  <w:style w:type="character" w:customStyle="1" w:styleId="BalloonTextChar5">
    <w:name w:val="Balloon Text Char"/>
    <w:basedOn w:val="DefaultParagraphFont"/>
    <w:uiPriority w:val="99"/>
    <w:semiHidden/>
    <w:rsid w:val="0031409C"/>
    <w:rPr>
      <w:rFonts w:ascii="Lucida Grande" w:hAnsi="Lucida Grande"/>
      <w:sz w:val="18"/>
      <w:szCs w:val="18"/>
    </w:rPr>
  </w:style>
  <w:style w:type="character" w:customStyle="1" w:styleId="BalloonTextChar6">
    <w:name w:val="Balloon Text Char"/>
    <w:basedOn w:val="DefaultParagraphFont"/>
    <w:uiPriority w:val="99"/>
    <w:semiHidden/>
    <w:rsid w:val="0031409C"/>
    <w:rPr>
      <w:rFonts w:ascii="Lucida Grande" w:hAnsi="Lucida Grande"/>
      <w:sz w:val="18"/>
      <w:szCs w:val="18"/>
    </w:rPr>
  </w:style>
  <w:style w:type="character" w:customStyle="1" w:styleId="BalloonTextChar7">
    <w:name w:val="Balloon Text Char"/>
    <w:basedOn w:val="DefaultParagraphFont"/>
    <w:uiPriority w:val="99"/>
    <w:semiHidden/>
    <w:rsid w:val="0031409C"/>
    <w:rPr>
      <w:rFonts w:ascii="Lucida Grande" w:hAnsi="Lucida Grande"/>
      <w:sz w:val="18"/>
      <w:szCs w:val="18"/>
    </w:rPr>
  </w:style>
  <w:style w:type="character" w:customStyle="1" w:styleId="BalloonTextChar8">
    <w:name w:val="Balloon Text Char"/>
    <w:basedOn w:val="DefaultParagraphFont"/>
    <w:uiPriority w:val="99"/>
    <w:semiHidden/>
    <w:rsid w:val="0031409C"/>
    <w:rPr>
      <w:rFonts w:ascii="Lucida Grande" w:hAnsi="Lucida Grande"/>
      <w:sz w:val="18"/>
      <w:szCs w:val="18"/>
    </w:rPr>
  </w:style>
  <w:style w:type="character" w:customStyle="1" w:styleId="BalloonTextChar9">
    <w:name w:val="Balloon Text Char"/>
    <w:basedOn w:val="DefaultParagraphFont"/>
    <w:uiPriority w:val="99"/>
    <w:semiHidden/>
    <w:rsid w:val="0031409C"/>
    <w:rPr>
      <w:rFonts w:ascii="Lucida Grande" w:hAnsi="Lucida Grande"/>
      <w:sz w:val="18"/>
      <w:szCs w:val="18"/>
    </w:rPr>
  </w:style>
  <w:style w:type="character" w:customStyle="1" w:styleId="BalloonTextChara">
    <w:name w:val="Balloon Text Char"/>
    <w:basedOn w:val="DefaultParagraphFont"/>
    <w:uiPriority w:val="99"/>
    <w:semiHidden/>
    <w:rsid w:val="0031409C"/>
    <w:rPr>
      <w:rFonts w:ascii="Lucida Grande" w:hAnsi="Lucida Grande"/>
      <w:sz w:val="18"/>
      <w:szCs w:val="18"/>
    </w:rPr>
  </w:style>
  <w:style w:type="character" w:customStyle="1" w:styleId="BalloonTextCharb">
    <w:name w:val="Balloon Text Char"/>
    <w:basedOn w:val="DefaultParagraphFont"/>
    <w:uiPriority w:val="99"/>
    <w:semiHidden/>
    <w:rsid w:val="00AB0592"/>
    <w:rPr>
      <w:rFonts w:ascii="Lucida Grande" w:hAnsi="Lucida Grande"/>
      <w:sz w:val="18"/>
      <w:szCs w:val="18"/>
    </w:rPr>
  </w:style>
  <w:style w:type="character" w:customStyle="1" w:styleId="BalloonTextCharc">
    <w:name w:val="Balloon Text Char"/>
    <w:basedOn w:val="DefaultParagraphFont"/>
    <w:uiPriority w:val="99"/>
    <w:semiHidden/>
    <w:rsid w:val="00AB0592"/>
    <w:rPr>
      <w:rFonts w:ascii="Lucida Grande" w:hAnsi="Lucida Grande"/>
      <w:sz w:val="18"/>
      <w:szCs w:val="18"/>
    </w:rPr>
  </w:style>
  <w:style w:type="character" w:customStyle="1" w:styleId="BalloonTextChard">
    <w:name w:val="Balloon Text Char"/>
    <w:basedOn w:val="DefaultParagraphFont"/>
    <w:uiPriority w:val="99"/>
    <w:semiHidden/>
    <w:rsid w:val="00220FCA"/>
    <w:rPr>
      <w:rFonts w:ascii="Lucida Grande" w:hAnsi="Lucida Grande" w:cs="Lucida Grande"/>
      <w:sz w:val="18"/>
      <w:szCs w:val="18"/>
    </w:rPr>
  </w:style>
  <w:style w:type="character" w:customStyle="1" w:styleId="BalloonTextChare">
    <w:name w:val="Balloon Text Char"/>
    <w:basedOn w:val="DefaultParagraphFont"/>
    <w:uiPriority w:val="99"/>
    <w:semiHidden/>
    <w:rsid w:val="00220FCA"/>
    <w:rPr>
      <w:rFonts w:ascii="Lucida Grande" w:hAnsi="Lucida Grande" w:cs="Lucida Grande"/>
      <w:sz w:val="18"/>
      <w:szCs w:val="18"/>
    </w:rPr>
  </w:style>
  <w:style w:type="character" w:customStyle="1" w:styleId="BalloonTextCharf">
    <w:name w:val="Balloon Text Char"/>
    <w:basedOn w:val="DefaultParagraphFont"/>
    <w:uiPriority w:val="99"/>
    <w:semiHidden/>
    <w:rsid w:val="00220FCA"/>
    <w:rPr>
      <w:rFonts w:ascii="Lucida Grande" w:hAnsi="Lucida Grande" w:cs="Lucida Grande"/>
      <w:sz w:val="18"/>
      <w:szCs w:val="18"/>
    </w:rPr>
  </w:style>
  <w:style w:type="character" w:customStyle="1" w:styleId="BalloonTextCharf0">
    <w:name w:val="Balloon Text Char"/>
    <w:basedOn w:val="DefaultParagraphFont"/>
    <w:uiPriority w:val="99"/>
    <w:semiHidden/>
    <w:rsid w:val="00220FCA"/>
    <w:rPr>
      <w:rFonts w:ascii="Lucida Grande" w:hAnsi="Lucida Grande" w:cs="Lucida Grande"/>
      <w:sz w:val="18"/>
      <w:szCs w:val="18"/>
    </w:rPr>
  </w:style>
  <w:style w:type="character" w:customStyle="1" w:styleId="BalloonTextCharf1">
    <w:name w:val="Balloon Text Char"/>
    <w:basedOn w:val="DefaultParagraphFont"/>
    <w:uiPriority w:val="99"/>
    <w:semiHidden/>
    <w:rsid w:val="00220FCA"/>
    <w:rPr>
      <w:rFonts w:ascii="Lucida Grande" w:hAnsi="Lucida Grande" w:cs="Lucida Grande"/>
      <w:sz w:val="18"/>
      <w:szCs w:val="18"/>
    </w:rPr>
  </w:style>
  <w:style w:type="character" w:customStyle="1" w:styleId="BalloonTextCharf2">
    <w:name w:val="Balloon Text Char"/>
    <w:basedOn w:val="DefaultParagraphFont"/>
    <w:uiPriority w:val="99"/>
    <w:semiHidden/>
    <w:rsid w:val="00220FCA"/>
    <w:rPr>
      <w:rFonts w:ascii="Lucida Grande" w:hAnsi="Lucida Grande" w:cs="Lucida Grande"/>
      <w:sz w:val="18"/>
      <w:szCs w:val="18"/>
    </w:rPr>
  </w:style>
  <w:style w:type="paragraph" w:styleId="ListParagraph">
    <w:name w:val="List Paragraph"/>
    <w:basedOn w:val="Normal"/>
    <w:uiPriority w:val="34"/>
    <w:qFormat/>
    <w:rsid w:val="001627D8"/>
    <w:pPr>
      <w:ind w:left="720"/>
      <w:contextualSpacing/>
    </w:pPr>
  </w:style>
  <w:style w:type="character" w:customStyle="1" w:styleId="Heading1Char">
    <w:name w:val="Heading 1 Char"/>
    <w:basedOn w:val="DefaultParagraphFont"/>
    <w:link w:val="Heading1"/>
    <w:rsid w:val="001B44DE"/>
    <w:rPr>
      <w:rFonts w:ascii="Arial" w:eastAsia="Times New Roman" w:hAnsi="Arial" w:cs="Times New Roman"/>
      <w:caps/>
      <w:sz w:val="32"/>
      <w:lang w:val="en-NZ"/>
    </w:rPr>
  </w:style>
  <w:style w:type="character" w:customStyle="1" w:styleId="Heading2Char">
    <w:name w:val="Heading 2 Char"/>
    <w:basedOn w:val="DefaultParagraphFont"/>
    <w:link w:val="Heading2"/>
    <w:rsid w:val="001B44DE"/>
    <w:rPr>
      <w:rFonts w:ascii="Arial" w:eastAsiaTheme="majorEastAsia" w:hAnsi="Arial" w:cstheme="majorBidi"/>
      <w:color w:val="000000" w:themeColor="text1"/>
      <w:sz w:val="28"/>
      <w:szCs w:val="26"/>
      <w:lang w:val="en-GB"/>
    </w:rPr>
  </w:style>
  <w:style w:type="character" w:customStyle="1" w:styleId="Heading3Char">
    <w:name w:val="Heading 3 Char"/>
    <w:basedOn w:val="DefaultParagraphFont"/>
    <w:link w:val="Heading3"/>
    <w:rsid w:val="001B44DE"/>
    <w:rPr>
      <w:rFonts w:ascii="Arial" w:eastAsiaTheme="majorEastAsia" w:hAnsi="Arial" w:cstheme="majorBidi"/>
      <w:b/>
      <w:color w:val="000000" w:themeColor="text1"/>
      <w:sz w:val="22"/>
      <w:lang w:val="en-GB"/>
    </w:rPr>
  </w:style>
  <w:style w:type="paragraph" w:styleId="FootnoteText">
    <w:name w:val="footnote text"/>
    <w:basedOn w:val="Normal"/>
    <w:link w:val="FootnoteTextChar"/>
    <w:unhideWhenUsed/>
    <w:rsid w:val="00F436C0"/>
    <w:pPr>
      <w:spacing w:line="240" w:lineRule="auto"/>
    </w:pPr>
    <w:rPr>
      <w:sz w:val="18"/>
      <w:szCs w:val="18"/>
    </w:rPr>
  </w:style>
  <w:style w:type="character" w:customStyle="1" w:styleId="FootnoteTextChar">
    <w:name w:val="Footnote Text Char"/>
    <w:basedOn w:val="DefaultParagraphFont"/>
    <w:link w:val="FootnoteText"/>
    <w:rsid w:val="00F436C0"/>
    <w:rPr>
      <w:sz w:val="18"/>
      <w:szCs w:val="18"/>
    </w:rPr>
  </w:style>
  <w:style w:type="character" w:styleId="FootnoteReference">
    <w:name w:val="footnote reference"/>
    <w:basedOn w:val="DefaultParagraphFont"/>
    <w:unhideWhenUsed/>
    <w:rsid w:val="00E1172D"/>
    <w:rPr>
      <w:vertAlign w:val="superscript"/>
    </w:rPr>
  </w:style>
  <w:style w:type="character" w:customStyle="1" w:styleId="BalloonTextChar1">
    <w:name w:val="Balloon Text Char1"/>
    <w:basedOn w:val="DefaultParagraphFont"/>
    <w:link w:val="BalloonText"/>
    <w:uiPriority w:val="99"/>
    <w:semiHidden/>
    <w:rsid w:val="002D6EF4"/>
    <w:rPr>
      <w:rFonts w:ascii="Lucida Grande" w:hAnsi="Lucida Grande"/>
      <w:sz w:val="18"/>
      <w:szCs w:val="18"/>
    </w:rPr>
  </w:style>
  <w:style w:type="paragraph" w:customStyle="1" w:styleId="References">
    <w:name w:val="References"/>
    <w:basedOn w:val="Normal"/>
    <w:uiPriority w:val="99"/>
    <w:rsid w:val="00DD0721"/>
    <w:pPr>
      <w:spacing w:after="240" w:line="288" w:lineRule="auto"/>
      <w:ind w:left="284" w:hanging="284"/>
    </w:pPr>
    <w:rPr>
      <w:rFonts w:ascii="Palatino" w:eastAsia="Times New Roman" w:hAnsi="Palatino" w:cs="Courier"/>
      <w:szCs w:val="20"/>
      <w:lang w:val="en-AU"/>
    </w:rPr>
  </w:style>
  <w:style w:type="character" w:styleId="Hyperlink">
    <w:name w:val="Hyperlink"/>
    <w:basedOn w:val="DefaultParagraphFont"/>
    <w:rsid w:val="007005CF"/>
    <w:rPr>
      <w:color w:val="0000FF"/>
      <w:u w:val="single"/>
    </w:rPr>
  </w:style>
  <w:style w:type="paragraph" w:customStyle="1" w:styleId="para">
    <w:name w:val="para"/>
    <w:basedOn w:val="Normal"/>
    <w:uiPriority w:val="99"/>
    <w:rsid w:val="00120DFE"/>
    <w:pPr>
      <w:spacing w:before="40" w:line="280" w:lineRule="atLeast"/>
    </w:pPr>
    <w:rPr>
      <w:rFonts w:ascii="Palatino" w:eastAsia="Times New Roman" w:hAnsi="Palatino" w:cs="Times New Roman"/>
      <w:lang w:val="en-AU"/>
    </w:rPr>
  </w:style>
  <w:style w:type="paragraph" w:customStyle="1" w:styleId="Quote1">
    <w:name w:val="Quote1"/>
    <w:basedOn w:val="para"/>
    <w:autoRedefine/>
    <w:rsid w:val="005C1F9E"/>
    <w:pPr>
      <w:spacing w:before="240" w:line="240" w:lineRule="atLeast"/>
      <w:ind w:left="567" w:right="363"/>
    </w:pPr>
    <w:rPr>
      <w:sz w:val="20"/>
    </w:rPr>
  </w:style>
  <w:style w:type="paragraph" w:customStyle="1" w:styleId="quoteref">
    <w:name w:val="quote ref"/>
    <w:basedOn w:val="para"/>
    <w:rsid w:val="00EF7BC7"/>
    <w:pPr>
      <w:ind w:left="567" w:right="645"/>
      <w:jc w:val="right"/>
    </w:pPr>
    <w:rPr>
      <w:rFonts w:ascii="Times New Roman" w:hAnsi="Times New Roman"/>
      <w:sz w:val="20"/>
    </w:rPr>
  </w:style>
  <w:style w:type="character" w:customStyle="1" w:styleId="FootnoteTextChar1">
    <w:name w:val="Footnote Text Char1"/>
    <w:basedOn w:val="DefaultParagraphFont"/>
    <w:locked/>
    <w:rsid w:val="009F60C5"/>
    <w:rPr>
      <w:rFonts w:ascii="Cambria" w:hAnsi="Cambria" w:cs="Times New Roman"/>
      <w:sz w:val="24"/>
      <w:szCs w:val="24"/>
      <w:lang w:val="en-GB" w:eastAsia="en-US" w:bidi="ar-SA"/>
    </w:rPr>
  </w:style>
  <w:style w:type="paragraph" w:customStyle="1" w:styleId="TECworknormal">
    <w:name w:val="TECworknormal"/>
    <w:basedOn w:val="Normal"/>
    <w:qFormat/>
    <w:rsid w:val="009F60C5"/>
    <w:pPr>
      <w:spacing w:before="240" w:after="200"/>
    </w:pPr>
    <w:rPr>
      <w:rFonts w:ascii="Arial" w:eastAsia="Times New Roman" w:hAnsi="Arial" w:cs="Arial"/>
      <w:szCs w:val="22"/>
      <w:lang w:val="en-NZ"/>
    </w:rPr>
  </w:style>
  <w:style w:type="paragraph" w:customStyle="1" w:styleId="TECheading3">
    <w:name w:val="TECheading3"/>
    <w:basedOn w:val="Heading3"/>
    <w:qFormat/>
    <w:rsid w:val="009F60C5"/>
    <w:pPr>
      <w:keepLines w:val="0"/>
      <w:tabs>
        <w:tab w:val="left" w:pos="6120"/>
      </w:tabs>
      <w:spacing w:before="0" w:after="200"/>
    </w:pPr>
    <w:rPr>
      <w:rFonts w:eastAsia="Times New Roman" w:cs="Arial"/>
      <w:bCs/>
      <w:iCs/>
      <w:color w:val="auto"/>
      <w:sz w:val="28"/>
      <w:szCs w:val="28"/>
      <w:lang w:val="en-NZ"/>
    </w:rPr>
  </w:style>
  <w:style w:type="paragraph" w:customStyle="1" w:styleId="TECheading4">
    <w:name w:val="TECheading4"/>
    <w:basedOn w:val="Heading4"/>
    <w:qFormat/>
    <w:rsid w:val="001B44DE"/>
    <w:pPr>
      <w:keepLines w:val="0"/>
      <w:spacing w:before="240"/>
    </w:pPr>
    <w:rPr>
      <w:rFonts w:ascii="Arial" w:eastAsia="Times New Roman" w:hAnsi="Arial" w:cs="Arial"/>
      <w:bCs/>
      <w:i w:val="0"/>
      <w:iCs w:val="0"/>
      <w:color w:val="auto"/>
      <w:szCs w:val="22"/>
      <w:lang w:val="en-NZ"/>
    </w:rPr>
  </w:style>
  <w:style w:type="character" w:customStyle="1" w:styleId="Heading4Char">
    <w:name w:val="Heading 4 Char"/>
    <w:basedOn w:val="DefaultParagraphFont"/>
    <w:link w:val="Heading4"/>
    <w:rsid w:val="001B44DE"/>
    <w:rPr>
      <w:rFonts w:asciiTheme="majorHAnsi" w:eastAsiaTheme="majorEastAsia" w:hAnsiTheme="majorHAnsi" w:cstheme="majorBidi"/>
      <w:b/>
      <w:i/>
      <w:iCs/>
      <w:color w:val="4F81BD" w:themeColor="accent1"/>
      <w:sz w:val="22"/>
      <w:lang w:val="en-GB"/>
    </w:rPr>
  </w:style>
  <w:style w:type="character" w:customStyle="1" w:styleId="Heading5Char">
    <w:name w:val="Heading 5 Char"/>
    <w:basedOn w:val="DefaultParagraphFont"/>
    <w:link w:val="Heading5"/>
    <w:rsid w:val="001B44DE"/>
    <w:rPr>
      <w:rFonts w:asciiTheme="majorHAnsi" w:eastAsiaTheme="majorEastAsia" w:hAnsiTheme="majorHAnsi" w:cstheme="majorBidi"/>
      <w:bCs/>
      <w:color w:val="244061" w:themeColor="accent1" w:themeShade="80"/>
      <w:sz w:val="22"/>
      <w:lang w:val="en-GB"/>
    </w:rPr>
  </w:style>
  <w:style w:type="paragraph" w:styleId="BodyText">
    <w:name w:val="Body Text"/>
    <w:basedOn w:val="Normal"/>
    <w:link w:val="BodyTextChar"/>
    <w:rsid w:val="00545DFC"/>
    <w:rPr>
      <w:rFonts w:eastAsia="Times" w:cs="Times New Roman"/>
      <w:szCs w:val="20"/>
    </w:rPr>
  </w:style>
  <w:style w:type="character" w:customStyle="1" w:styleId="BodyTextChar">
    <w:name w:val="Body Text Char"/>
    <w:basedOn w:val="DefaultParagraphFont"/>
    <w:link w:val="BodyText"/>
    <w:rsid w:val="00545DFC"/>
    <w:rPr>
      <w:rFonts w:ascii="Times New Roman" w:eastAsia="Times" w:hAnsi="Times New Roman" w:cs="Times New Roman"/>
      <w:sz w:val="22"/>
      <w:szCs w:val="20"/>
      <w:lang w:val="en-GB"/>
    </w:rPr>
  </w:style>
  <w:style w:type="table" w:styleId="TableGrid">
    <w:name w:val="Table Grid"/>
    <w:basedOn w:val="TableNormal"/>
    <w:uiPriority w:val="59"/>
    <w:rsid w:val="00466239"/>
    <w:rPr>
      <w:rFonts w:eastAsiaTheme="minorHAns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nhideWhenUsed/>
    <w:rsid w:val="001B44DE"/>
    <w:pPr>
      <w:numPr>
        <w:numId w:val="1"/>
      </w:numPr>
    </w:pPr>
    <w:rPr>
      <w:rFonts w:eastAsiaTheme="minorHAnsi"/>
      <w:sz w:val="20"/>
    </w:rPr>
  </w:style>
  <w:style w:type="character" w:styleId="CommentReference">
    <w:name w:val="annotation reference"/>
    <w:basedOn w:val="DefaultParagraphFont"/>
    <w:uiPriority w:val="99"/>
    <w:rsid w:val="00904B29"/>
    <w:rPr>
      <w:sz w:val="18"/>
      <w:szCs w:val="18"/>
    </w:rPr>
  </w:style>
  <w:style w:type="paragraph" w:styleId="CommentText">
    <w:name w:val="annotation text"/>
    <w:basedOn w:val="Normal"/>
    <w:link w:val="CommentTextChar"/>
    <w:uiPriority w:val="99"/>
    <w:rsid w:val="00904B29"/>
  </w:style>
  <w:style w:type="character" w:customStyle="1" w:styleId="CommentTextChar">
    <w:name w:val="Comment Text Char"/>
    <w:basedOn w:val="DefaultParagraphFont"/>
    <w:link w:val="CommentText"/>
    <w:uiPriority w:val="99"/>
    <w:rsid w:val="00904B29"/>
    <w:rPr>
      <w:rFonts w:ascii="Times New Roman" w:hAnsi="Times New Roman"/>
    </w:rPr>
  </w:style>
  <w:style w:type="paragraph" w:styleId="Footer">
    <w:name w:val="footer"/>
    <w:basedOn w:val="Normal"/>
    <w:link w:val="FooterChar"/>
    <w:rsid w:val="00F64D3F"/>
    <w:pPr>
      <w:tabs>
        <w:tab w:val="center" w:pos="4320"/>
        <w:tab w:val="right" w:pos="8640"/>
      </w:tabs>
      <w:spacing w:line="240" w:lineRule="auto"/>
    </w:pPr>
  </w:style>
  <w:style w:type="character" w:customStyle="1" w:styleId="FooterChar">
    <w:name w:val="Footer Char"/>
    <w:basedOn w:val="DefaultParagraphFont"/>
    <w:link w:val="Footer"/>
    <w:rsid w:val="00F64D3F"/>
    <w:rPr>
      <w:sz w:val="22"/>
    </w:rPr>
  </w:style>
  <w:style w:type="character" w:styleId="PageNumber">
    <w:name w:val="page number"/>
    <w:basedOn w:val="DefaultParagraphFont"/>
    <w:rsid w:val="00F64D3F"/>
  </w:style>
  <w:style w:type="paragraph" w:styleId="EndnoteText">
    <w:name w:val="endnote text"/>
    <w:basedOn w:val="Normal"/>
    <w:link w:val="EndnoteTextChar"/>
    <w:rsid w:val="00324ABD"/>
    <w:pPr>
      <w:spacing w:line="240" w:lineRule="auto"/>
    </w:pPr>
    <w:rPr>
      <w:szCs w:val="22"/>
    </w:rPr>
  </w:style>
  <w:style w:type="character" w:customStyle="1" w:styleId="EndnoteTextChar">
    <w:name w:val="Endnote Text Char"/>
    <w:basedOn w:val="DefaultParagraphFont"/>
    <w:link w:val="EndnoteText"/>
    <w:rsid w:val="00324ABD"/>
    <w:rPr>
      <w:sz w:val="22"/>
      <w:szCs w:val="22"/>
    </w:rPr>
  </w:style>
  <w:style w:type="character" w:styleId="EndnoteReference">
    <w:name w:val="endnote reference"/>
    <w:basedOn w:val="DefaultParagraphFont"/>
    <w:rsid w:val="00C735E1"/>
    <w:rPr>
      <w:vertAlign w:val="superscript"/>
    </w:rPr>
  </w:style>
  <w:style w:type="paragraph" w:styleId="Header">
    <w:name w:val="header"/>
    <w:basedOn w:val="Normal"/>
    <w:link w:val="HeaderChar"/>
    <w:rsid w:val="0030610F"/>
    <w:pPr>
      <w:tabs>
        <w:tab w:val="center" w:pos="4320"/>
        <w:tab w:val="right" w:pos="8640"/>
      </w:tabs>
      <w:spacing w:line="240" w:lineRule="auto"/>
    </w:pPr>
  </w:style>
  <w:style w:type="character" w:customStyle="1" w:styleId="HeaderChar">
    <w:name w:val="Header Char"/>
    <w:basedOn w:val="DefaultParagraphFont"/>
    <w:link w:val="Header"/>
    <w:rsid w:val="0030610F"/>
    <w:rPr>
      <w:sz w:val="22"/>
    </w:rPr>
  </w:style>
  <w:style w:type="paragraph" w:styleId="NormalWeb">
    <w:name w:val="Normal (Web)"/>
    <w:basedOn w:val="Normal"/>
    <w:uiPriority w:val="99"/>
    <w:rsid w:val="00F54D9E"/>
    <w:pPr>
      <w:spacing w:beforeLines="1" w:afterLines="1" w:line="240" w:lineRule="auto"/>
    </w:pPr>
    <w:rPr>
      <w:rFonts w:ascii="Times" w:hAnsi="Times" w:cs="Times New Roman"/>
      <w:sz w:val="20"/>
      <w:szCs w:val="20"/>
      <w:lang w:val="en-AU"/>
    </w:rPr>
  </w:style>
  <w:style w:type="paragraph" w:styleId="PlainText">
    <w:name w:val="Plain Text"/>
    <w:basedOn w:val="Normal"/>
    <w:link w:val="PlainTextChar"/>
    <w:uiPriority w:val="99"/>
    <w:unhideWhenUsed/>
    <w:rsid w:val="008A09B6"/>
    <w:pPr>
      <w:spacing w:line="240" w:lineRule="auto"/>
    </w:pPr>
    <w:rPr>
      <w:rFonts w:ascii="Courier" w:eastAsiaTheme="minorHAnsi" w:hAnsi="Courier"/>
      <w:sz w:val="21"/>
      <w:szCs w:val="21"/>
      <w:lang w:val="en-AU"/>
    </w:rPr>
  </w:style>
  <w:style w:type="character" w:customStyle="1" w:styleId="PlainTextChar">
    <w:name w:val="Plain Text Char"/>
    <w:basedOn w:val="DefaultParagraphFont"/>
    <w:link w:val="PlainText"/>
    <w:uiPriority w:val="99"/>
    <w:rsid w:val="008A09B6"/>
    <w:rPr>
      <w:rFonts w:ascii="Courier" w:eastAsiaTheme="minorHAnsi" w:hAnsi="Courier"/>
      <w:sz w:val="21"/>
      <w:szCs w:val="21"/>
      <w:lang w:val="en-AU"/>
    </w:rPr>
  </w:style>
  <w:style w:type="character" w:styleId="FollowedHyperlink">
    <w:name w:val="FollowedHyperlink"/>
    <w:basedOn w:val="DefaultParagraphFont"/>
    <w:rsid w:val="0073692E"/>
    <w:rPr>
      <w:color w:val="800080" w:themeColor="followedHyperlink"/>
      <w:u w:val="single"/>
    </w:rPr>
  </w:style>
  <w:style w:type="paragraph" w:styleId="Quote">
    <w:name w:val="Quote"/>
    <w:basedOn w:val="Normal"/>
    <w:link w:val="QuoteChar"/>
    <w:rsid w:val="00FA4C62"/>
    <w:pPr>
      <w:spacing w:after="160" w:line="280" w:lineRule="exact"/>
      <w:ind w:left="851"/>
    </w:pPr>
    <w:rPr>
      <w:rFonts w:ascii="Times New Roman Mäori" w:eastAsia="Times New Roman" w:hAnsi="Times New Roman Mäori" w:cs="Times New Roman"/>
      <w:sz w:val="20"/>
      <w:szCs w:val="20"/>
    </w:rPr>
  </w:style>
  <w:style w:type="character" w:customStyle="1" w:styleId="QuoteChar">
    <w:name w:val="Quote Char"/>
    <w:basedOn w:val="DefaultParagraphFont"/>
    <w:link w:val="Quote"/>
    <w:rsid w:val="00FA4C62"/>
    <w:rPr>
      <w:rFonts w:ascii="Times New Roman Mäori" w:eastAsia="Times New Roman" w:hAnsi="Times New Roman Mäori" w:cs="Times New Roman"/>
      <w:sz w:val="20"/>
      <w:szCs w:val="20"/>
      <w:lang w:val="en-GB"/>
    </w:rPr>
  </w:style>
  <w:style w:type="paragraph" w:customStyle="1" w:styleId="Bullet">
    <w:name w:val="Bullet"/>
    <w:basedOn w:val="Normal"/>
    <w:rsid w:val="001B44DE"/>
    <w:pPr>
      <w:numPr>
        <w:numId w:val="2"/>
      </w:numPr>
      <w:tabs>
        <w:tab w:val="clear" w:pos="360"/>
        <w:tab w:val="left" w:pos="284"/>
      </w:tabs>
    </w:pPr>
    <w:rPr>
      <w:rFonts w:ascii="Times New Roman Mäori" w:eastAsia="Times New Roman" w:hAnsi="Times New Roman Mäori" w:cs="Times New Roman"/>
      <w:sz w:val="21"/>
      <w:szCs w:val="20"/>
    </w:rPr>
  </w:style>
  <w:style w:type="paragraph" w:styleId="BodyTextIndent">
    <w:name w:val="Body Text Indent"/>
    <w:basedOn w:val="Normal"/>
    <w:link w:val="BodyTextIndentChar"/>
    <w:uiPriority w:val="99"/>
    <w:unhideWhenUsed/>
    <w:rsid w:val="00FA4C62"/>
    <w:pPr>
      <w:ind w:left="283"/>
    </w:pPr>
    <w:rPr>
      <w:rFonts w:ascii="Times New Roman Mäori" w:eastAsia="Times New Roman" w:hAnsi="Times New Roman Mäori" w:cs="Times New Roman"/>
      <w:sz w:val="21"/>
      <w:szCs w:val="20"/>
    </w:rPr>
  </w:style>
  <w:style w:type="character" w:customStyle="1" w:styleId="BodyTextIndentChar">
    <w:name w:val="Body Text Indent Char"/>
    <w:basedOn w:val="DefaultParagraphFont"/>
    <w:link w:val="BodyTextIndent"/>
    <w:uiPriority w:val="99"/>
    <w:rsid w:val="00FA4C62"/>
    <w:rPr>
      <w:rFonts w:ascii="Times New Roman Mäori" w:eastAsia="Times New Roman" w:hAnsi="Times New Roman Mäori" w:cs="Times New Roman"/>
      <w:sz w:val="21"/>
      <w:szCs w:val="20"/>
      <w:lang w:val="en-GB"/>
    </w:rPr>
  </w:style>
  <w:style w:type="paragraph" w:customStyle="1" w:styleId="b">
    <w:name w:val="b"/>
    <w:basedOn w:val="Normal"/>
    <w:rsid w:val="00FA4C62"/>
    <w:pPr>
      <w:spacing w:after="160"/>
    </w:pPr>
    <w:rPr>
      <w:rFonts w:ascii="Times New Roman Mäori" w:eastAsia="Times New Roman" w:hAnsi="Times New Roman Mäori" w:cs="Times New Roman"/>
      <w:sz w:val="21"/>
      <w:szCs w:val="20"/>
    </w:rPr>
  </w:style>
  <w:style w:type="character" w:customStyle="1" w:styleId="Heading6Char">
    <w:name w:val="Heading 6 Char"/>
    <w:basedOn w:val="DefaultParagraphFont"/>
    <w:link w:val="Heading6"/>
    <w:rsid w:val="001B44DE"/>
    <w:rPr>
      <w:rFonts w:asciiTheme="majorHAnsi" w:eastAsiaTheme="majorEastAsia" w:hAnsiTheme="majorHAnsi" w:cstheme="majorBidi"/>
      <w:bCs/>
      <w:i/>
      <w:iCs/>
      <w:color w:val="243F60" w:themeColor="accent1" w:themeShade="7F"/>
      <w:sz w:val="22"/>
      <w:lang w:val="en-GB"/>
    </w:rPr>
  </w:style>
  <w:style w:type="character" w:customStyle="1" w:styleId="Heading7Char">
    <w:name w:val="Heading 7 Char"/>
    <w:basedOn w:val="DefaultParagraphFont"/>
    <w:link w:val="Heading7"/>
    <w:rsid w:val="001B44DE"/>
    <w:rPr>
      <w:rFonts w:asciiTheme="majorHAnsi" w:eastAsiaTheme="majorEastAsia" w:hAnsiTheme="majorHAnsi" w:cstheme="majorBidi"/>
      <w:bCs/>
      <w:i/>
      <w:iCs/>
      <w:color w:val="404040" w:themeColor="text1" w:themeTint="BF"/>
      <w:sz w:val="22"/>
      <w:lang w:val="en-GB"/>
    </w:rPr>
  </w:style>
  <w:style w:type="character" w:customStyle="1" w:styleId="Heading8Char">
    <w:name w:val="Heading 8 Char"/>
    <w:basedOn w:val="DefaultParagraphFont"/>
    <w:link w:val="Heading8"/>
    <w:rsid w:val="001B44DE"/>
    <w:rPr>
      <w:rFonts w:asciiTheme="majorHAnsi" w:eastAsiaTheme="majorEastAsia" w:hAnsiTheme="majorHAnsi" w:cstheme="majorBidi"/>
      <w:bCs/>
      <w:color w:val="404040" w:themeColor="text1" w:themeTint="BF"/>
      <w:sz w:val="20"/>
      <w:szCs w:val="20"/>
      <w:lang w:val="en-GB"/>
    </w:rPr>
  </w:style>
  <w:style w:type="character" w:customStyle="1" w:styleId="Heading9Char">
    <w:name w:val="Heading 9 Char"/>
    <w:basedOn w:val="DefaultParagraphFont"/>
    <w:link w:val="Heading9"/>
    <w:rsid w:val="001B44DE"/>
    <w:rPr>
      <w:rFonts w:asciiTheme="majorHAnsi" w:eastAsiaTheme="majorEastAsia" w:hAnsiTheme="majorHAnsi" w:cstheme="majorBidi"/>
      <w:bCs/>
      <w:i/>
      <w:iCs/>
      <w:color w:val="404040" w:themeColor="text1" w:themeTint="BF"/>
      <w:sz w:val="20"/>
      <w:szCs w:val="20"/>
      <w:lang w:val="en-GB"/>
    </w:rPr>
  </w:style>
  <w:style w:type="paragraph" w:customStyle="1" w:styleId="Heading-Figure">
    <w:name w:val="Heading - Figure"/>
    <w:basedOn w:val="Normal"/>
    <w:qFormat/>
    <w:rsid w:val="009A1AD4"/>
    <w:pPr>
      <w:keepNext/>
      <w:tabs>
        <w:tab w:val="left" w:pos="992"/>
      </w:tabs>
      <w:spacing w:line="240" w:lineRule="atLeast"/>
      <w:ind w:left="992" w:hanging="992"/>
    </w:pPr>
    <w:rPr>
      <w:rFonts w:ascii="Arial" w:eastAsia="Times New Roman" w:hAnsi="Arial" w:cs="Times New Roman"/>
      <w:b/>
      <w:sz w:val="20"/>
      <w:szCs w:val="20"/>
      <w:lang w:eastAsia="en-NZ"/>
    </w:rPr>
  </w:style>
  <w:style w:type="paragraph" w:customStyle="1" w:styleId="NoteUnderTable">
    <w:name w:val="NoteUnderTable"/>
    <w:basedOn w:val="Normal"/>
    <w:link w:val="NoteUnderTableChar"/>
    <w:rsid w:val="009A1AD4"/>
    <w:pPr>
      <w:spacing w:before="60" w:line="200" w:lineRule="atLeast"/>
    </w:pPr>
    <w:rPr>
      <w:rFonts w:ascii="Arial" w:eastAsia="Times New Roman" w:hAnsi="Arial" w:cs="Sendnya"/>
      <w:noProof/>
      <w:sz w:val="16"/>
      <w:szCs w:val="18"/>
      <w:lang w:val="en-NZ" w:eastAsia="en-NZ"/>
    </w:rPr>
  </w:style>
  <w:style w:type="character" w:customStyle="1" w:styleId="NoteUnderTableChar">
    <w:name w:val="NoteUnderTable Char"/>
    <w:basedOn w:val="DefaultParagraphFont"/>
    <w:link w:val="NoteUnderTable"/>
    <w:rsid w:val="009A1AD4"/>
    <w:rPr>
      <w:rFonts w:ascii="Arial" w:eastAsia="Times New Roman" w:hAnsi="Arial" w:cs="Sendnya"/>
      <w:noProof/>
      <w:sz w:val="16"/>
      <w:szCs w:val="18"/>
      <w:lang w:val="en-NZ" w:eastAsia="en-NZ"/>
    </w:rPr>
  </w:style>
  <w:style w:type="paragraph" w:styleId="Caption">
    <w:name w:val="caption"/>
    <w:basedOn w:val="Normal"/>
    <w:next w:val="Normal"/>
    <w:rsid w:val="00E57CE7"/>
    <w:pPr>
      <w:spacing w:before="80" w:after="80" w:line="240" w:lineRule="auto"/>
    </w:pPr>
    <w:rPr>
      <w:rFonts w:ascii="Arial" w:hAnsi="Arial"/>
      <w:bCs w:val="0"/>
      <w:color w:val="000000" w:themeColor="text1"/>
      <w:sz w:val="18"/>
      <w:szCs w:val="18"/>
    </w:rPr>
  </w:style>
  <w:style w:type="paragraph" w:customStyle="1" w:styleId="NSTabletext">
    <w:name w:val="NS Table text"/>
    <w:basedOn w:val="Normal"/>
    <w:qFormat/>
    <w:rsid w:val="00C63BB6"/>
    <w:pPr>
      <w:framePr w:hSpace="181" w:wrap="around" w:vAnchor="text" w:hAnchor="margin" w:y="8"/>
      <w:spacing w:before="40" w:after="40" w:line="240" w:lineRule="atLeast"/>
      <w:jc w:val="center"/>
    </w:pPr>
    <w:rPr>
      <w:rFonts w:ascii="Arial" w:eastAsia="MS Mincho" w:hAnsi="Arial" w:cs="Times New Roman"/>
      <w:sz w:val="18"/>
      <w:szCs w:val="20"/>
      <w:lang w:val="en-NZ" w:eastAsia="en-NZ"/>
    </w:rPr>
  </w:style>
  <w:style w:type="character" w:customStyle="1" w:styleId="apple-converted-space">
    <w:name w:val="apple-converted-space"/>
    <w:basedOn w:val="DefaultParagraphFont"/>
    <w:rsid w:val="003912A2"/>
  </w:style>
  <w:style w:type="paragraph" w:styleId="CommentSubject">
    <w:name w:val="annotation subject"/>
    <w:basedOn w:val="CommentText"/>
    <w:next w:val="CommentText"/>
    <w:link w:val="CommentSubjectChar"/>
    <w:rsid w:val="00324ABD"/>
    <w:pPr>
      <w:spacing w:line="240" w:lineRule="auto"/>
    </w:pPr>
    <w:rPr>
      <w:rFonts w:asciiTheme="minorHAnsi" w:hAnsiTheme="minorHAnsi"/>
      <w:b/>
      <w:bCs w:val="0"/>
      <w:sz w:val="20"/>
      <w:szCs w:val="20"/>
    </w:rPr>
  </w:style>
  <w:style w:type="character" w:customStyle="1" w:styleId="CommentSubjectChar">
    <w:name w:val="Comment Subject Char"/>
    <w:basedOn w:val="CommentTextChar"/>
    <w:link w:val="CommentSubject"/>
    <w:rsid w:val="00324ABD"/>
    <w:rPr>
      <w:rFonts w:ascii="Times New Roman" w:hAnsi="Times New Roman"/>
      <w:b/>
      <w:bCs/>
      <w:sz w:val="20"/>
      <w:szCs w:val="20"/>
    </w:rPr>
  </w:style>
  <w:style w:type="paragraph" w:customStyle="1" w:styleId="Figuretitle">
    <w:name w:val="Figure title"/>
    <w:basedOn w:val="Caption"/>
    <w:qFormat/>
    <w:rsid w:val="00911D75"/>
    <w:pPr>
      <w:spacing w:line="320" w:lineRule="exact"/>
    </w:pPr>
    <w:rPr>
      <w:rFonts w:eastAsiaTheme="minorHAnsi"/>
    </w:rPr>
  </w:style>
  <w:style w:type="paragraph" w:customStyle="1" w:styleId="Tabletitle">
    <w:name w:val="Table title"/>
    <w:basedOn w:val="Caption"/>
    <w:qFormat/>
    <w:rsid w:val="00911D75"/>
    <w:pPr>
      <w:keepNext/>
      <w:spacing w:line="320" w:lineRule="exact"/>
    </w:pPr>
  </w:style>
  <w:style w:type="paragraph" w:customStyle="1" w:styleId="Heading1notinTOC">
    <w:name w:val="Heading 1 not in TOC"/>
    <w:basedOn w:val="Normal"/>
    <w:qFormat/>
    <w:rsid w:val="003B2EBF"/>
    <w:pPr>
      <w:pBdr>
        <w:bottom w:val="single" w:sz="4" w:space="1" w:color="auto"/>
      </w:pBdr>
      <w:spacing w:line="240" w:lineRule="auto"/>
    </w:pPr>
    <w:rPr>
      <w:rFonts w:asciiTheme="majorHAnsi" w:eastAsiaTheme="majorEastAsia" w:hAnsiTheme="majorHAnsi" w:cstheme="majorBidi"/>
      <w:b/>
      <w:bCs w:val="0"/>
      <w:color w:val="000000" w:themeColor="text1"/>
      <w:sz w:val="32"/>
      <w:szCs w:val="32"/>
    </w:rPr>
  </w:style>
  <w:style w:type="paragraph" w:styleId="TOC2">
    <w:name w:val="toc 2"/>
    <w:basedOn w:val="Normal"/>
    <w:next w:val="Normal"/>
    <w:autoRedefine/>
    <w:uiPriority w:val="39"/>
    <w:rsid w:val="00277BEC"/>
    <w:pPr>
      <w:tabs>
        <w:tab w:val="left" w:pos="735"/>
        <w:tab w:val="right" w:leader="dot" w:pos="8398"/>
      </w:tabs>
      <w:ind w:left="284"/>
    </w:pPr>
    <w:rPr>
      <w:rFonts w:ascii="Arial" w:hAnsi="Arial"/>
    </w:rPr>
  </w:style>
  <w:style w:type="paragraph" w:styleId="TOC1">
    <w:name w:val="toc 1"/>
    <w:basedOn w:val="Normal"/>
    <w:next w:val="Normal"/>
    <w:autoRedefine/>
    <w:uiPriority w:val="39"/>
    <w:rsid w:val="00277BEC"/>
    <w:pPr>
      <w:spacing w:after="100"/>
    </w:pPr>
    <w:rPr>
      <w:rFonts w:ascii="Arial" w:hAnsi="Arial"/>
    </w:rPr>
  </w:style>
  <w:style w:type="paragraph" w:styleId="TOC3">
    <w:name w:val="toc 3"/>
    <w:basedOn w:val="Normal"/>
    <w:next w:val="Normal"/>
    <w:autoRedefine/>
    <w:uiPriority w:val="39"/>
    <w:rsid w:val="00474A11"/>
    <w:pPr>
      <w:ind w:left="440"/>
    </w:pPr>
  </w:style>
  <w:style w:type="paragraph" w:styleId="TOC4">
    <w:name w:val="toc 4"/>
    <w:basedOn w:val="Normal"/>
    <w:next w:val="Normal"/>
    <w:autoRedefine/>
    <w:rsid w:val="00474A11"/>
    <w:pPr>
      <w:ind w:left="660"/>
    </w:pPr>
  </w:style>
  <w:style w:type="paragraph" w:styleId="TOC5">
    <w:name w:val="toc 5"/>
    <w:basedOn w:val="Normal"/>
    <w:next w:val="Normal"/>
    <w:autoRedefine/>
    <w:rsid w:val="00474A11"/>
    <w:pPr>
      <w:ind w:left="880"/>
    </w:pPr>
  </w:style>
  <w:style w:type="paragraph" w:styleId="TOC6">
    <w:name w:val="toc 6"/>
    <w:basedOn w:val="Normal"/>
    <w:next w:val="Normal"/>
    <w:autoRedefine/>
    <w:rsid w:val="00474A11"/>
    <w:pPr>
      <w:ind w:left="1100"/>
    </w:pPr>
  </w:style>
  <w:style w:type="paragraph" w:styleId="TOC7">
    <w:name w:val="toc 7"/>
    <w:basedOn w:val="Normal"/>
    <w:next w:val="Normal"/>
    <w:autoRedefine/>
    <w:rsid w:val="00474A11"/>
    <w:pPr>
      <w:ind w:left="1320"/>
    </w:pPr>
  </w:style>
  <w:style w:type="paragraph" w:styleId="TOC8">
    <w:name w:val="toc 8"/>
    <w:basedOn w:val="Normal"/>
    <w:next w:val="Normal"/>
    <w:autoRedefine/>
    <w:rsid w:val="00474A11"/>
    <w:pPr>
      <w:ind w:left="1540"/>
    </w:pPr>
  </w:style>
  <w:style w:type="paragraph" w:styleId="TOC9">
    <w:name w:val="toc 9"/>
    <w:basedOn w:val="Normal"/>
    <w:next w:val="Normal"/>
    <w:autoRedefine/>
    <w:rsid w:val="00474A11"/>
    <w:pPr>
      <w:ind w:left="1760"/>
    </w:pPr>
  </w:style>
  <w:style w:type="paragraph" w:customStyle="1" w:styleId="Referencetext">
    <w:name w:val="Reference text"/>
    <w:basedOn w:val="BodyText"/>
    <w:qFormat/>
    <w:rsid w:val="00626F60"/>
    <w:pPr>
      <w:spacing w:after="240" w:line="260" w:lineRule="atLeast"/>
    </w:pPr>
    <w:rPr>
      <w:rFonts w:eastAsia="Times New Roman"/>
      <w:bCs w:val="0"/>
      <w:lang w:val="en-NZ"/>
    </w:rPr>
  </w:style>
  <w:style w:type="paragraph" w:customStyle="1" w:styleId="Heading1notnumbered">
    <w:name w:val="Heading 1 not numbered"/>
    <w:basedOn w:val="Heading1"/>
    <w:qFormat/>
    <w:rsid w:val="00626F60"/>
    <w:pPr>
      <w:numPr>
        <w:numId w:val="0"/>
      </w:numPr>
      <w:ind w:left="432" w:hanging="432"/>
    </w:pPr>
    <w:rPr>
      <w:noProof/>
    </w:rPr>
  </w:style>
  <w:style w:type="paragraph" w:styleId="TableofFigures">
    <w:name w:val="table of figures"/>
    <w:basedOn w:val="Normal"/>
    <w:next w:val="Normal"/>
    <w:uiPriority w:val="99"/>
    <w:rsid w:val="00277BEC"/>
    <w:pPr>
      <w:ind w:left="440" w:hanging="440"/>
    </w:pPr>
    <w:rPr>
      <w:rFonts w:ascii="Arial" w:hAnsi="Arial"/>
    </w:rPr>
  </w:style>
  <w:style w:type="paragraph" w:styleId="Revision">
    <w:name w:val="Revision"/>
    <w:hidden/>
    <w:rsid w:val="009A4151"/>
    <w:rPr>
      <w:rFonts w:ascii="Times New Roman" w:hAnsi="Times New Roman"/>
      <w:bCs/>
      <w:sz w:val="22"/>
      <w:lang w:val="en-GB"/>
    </w:rPr>
  </w:style>
  <w:style w:type="paragraph" w:styleId="Title">
    <w:name w:val="Title"/>
    <w:basedOn w:val="Normal"/>
    <w:link w:val="TitleChar"/>
    <w:qFormat/>
    <w:rsid w:val="00953A79"/>
    <w:pPr>
      <w:spacing w:line="620" w:lineRule="exact"/>
      <w:ind w:left="2552"/>
      <w:jc w:val="right"/>
      <w:outlineLvl w:val="0"/>
    </w:pPr>
    <w:rPr>
      <w:rFonts w:ascii="Arial" w:eastAsia="Times New Roman" w:hAnsi="Arial" w:cs="Times New Roman"/>
      <w:bCs w:val="0"/>
      <w:color w:val="FFFFFF"/>
      <w:sz w:val="48"/>
      <w:lang w:val="en-NZ"/>
    </w:rPr>
  </w:style>
  <w:style w:type="character" w:customStyle="1" w:styleId="TitleChar">
    <w:name w:val="Title Char"/>
    <w:basedOn w:val="DefaultParagraphFont"/>
    <w:link w:val="Title"/>
    <w:rsid w:val="00953A79"/>
    <w:rPr>
      <w:rFonts w:ascii="Arial" w:eastAsia="Times New Roman" w:hAnsi="Arial" w:cs="Times New Roman"/>
      <w:color w:val="FFFFFF"/>
      <w:sz w:val="48"/>
      <w:lang w:val="en-NZ"/>
    </w:rPr>
  </w:style>
  <w:style w:type="paragraph" w:customStyle="1" w:styleId="Tabletext">
    <w:name w:val="Table text"/>
    <w:basedOn w:val="Normal"/>
    <w:qFormat/>
    <w:rsid w:val="00844A98"/>
    <w:pPr>
      <w:spacing w:after="0"/>
    </w:pPr>
    <w:rPr>
      <w:rFonts w:ascii="Arial" w:eastAsia="Times" w:hAnsi="Arial" w:cs="Arial"/>
      <w:sz w:val="18"/>
      <w:szCs w:val="18"/>
      <w:lang w:val="en-US"/>
    </w:rPr>
  </w:style>
  <w:style w:type="paragraph" w:customStyle="1" w:styleId="Default">
    <w:name w:val="Default"/>
    <w:rsid w:val="00D257C0"/>
    <w:pPr>
      <w:autoSpaceDE w:val="0"/>
      <w:autoSpaceDN w:val="0"/>
      <w:adjustRightInd w:val="0"/>
    </w:pPr>
    <w:rPr>
      <w:rFonts w:ascii="Cambria" w:hAnsi="Cambria" w:cs="Cambria"/>
      <w:color w:val="000000"/>
      <w:lang w:val="en-NZ"/>
    </w:rPr>
  </w:style>
  <w:style w:type="paragraph" w:styleId="DocumentMap">
    <w:name w:val="Document Map"/>
    <w:basedOn w:val="Normal"/>
    <w:link w:val="DocumentMapChar"/>
    <w:rsid w:val="000539A9"/>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rsid w:val="000539A9"/>
    <w:rPr>
      <w:rFonts w:ascii="Lucida Grande" w:hAnsi="Lucida Grande" w:cs="Lucida Grande"/>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annotation text" w:uiPriority="99"/>
    <w:lsdException w:name="table of figures" w:uiPriority="99"/>
    <w:lsdException w:name="annotation reference" w:uiPriority="99"/>
    <w:lsdException w:name="Title" w:qFormat="1"/>
    <w:lsdException w:name="Body Text Indent" w:uiPriority="99"/>
    <w:lsdException w:name="Plain Text" w:uiPriority="99"/>
    <w:lsdException w:name="Normal (Web)" w:uiPriority="99"/>
    <w:lsdException w:name="No List" w:uiPriority="99"/>
    <w:lsdException w:name="Table Grid" w:uiPriority="59"/>
    <w:lsdException w:name="List Paragraph" w:uiPriority="34" w:qFormat="1"/>
  </w:latentStyles>
  <w:style w:type="paragraph" w:default="1" w:styleId="Normal">
    <w:name w:val="Normal"/>
    <w:qFormat/>
    <w:rsid w:val="00FF5271"/>
    <w:pPr>
      <w:spacing w:after="120" w:line="320" w:lineRule="exact"/>
      <w:jc w:val="both"/>
    </w:pPr>
    <w:rPr>
      <w:rFonts w:ascii="Times New Roman" w:hAnsi="Times New Roman"/>
      <w:bCs/>
      <w:sz w:val="22"/>
      <w:lang w:val="en-GB"/>
    </w:rPr>
  </w:style>
  <w:style w:type="paragraph" w:styleId="Heading1">
    <w:name w:val="heading 1"/>
    <w:basedOn w:val="Normal"/>
    <w:next w:val="Normal"/>
    <w:link w:val="Heading1Char"/>
    <w:qFormat/>
    <w:rsid w:val="001B44DE"/>
    <w:pPr>
      <w:keepNext/>
      <w:keepLines/>
      <w:numPr>
        <w:numId w:val="14"/>
      </w:numPr>
      <w:pBdr>
        <w:bottom w:val="single" w:sz="4" w:space="1" w:color="auto"/>
      </w:pBdr>
      <w:spacing w:before="480" w:line="240" w:lineRule="auto"/>
      <w:outlineLvl w:val="0"/>
    </w:pPr>
    <w:rPr>
      <w:rFonts w:ascii="Arial" w:eastAsia="Times New Roman" w:hAnsi="Arial" w:cs="Times New Roman"/>
      <w:bCs w:val="0"/>
      <w:caps/>
      <w:sz w:val="32"/>
      <w:lang w:val="en-NZ"/>
    </w:rPr>
  </w:style>
  <w:style w:type="paragraph" w:styleId="Heading2">
    <w:name w:val="heading 2"/>
    <w:basedOn w:val="Normal"/>
    <w:next w:val="Normal"/>
    <w:link w:val="Heading2Char"/>
    <w:unhideWhenUsed/>
    <w:qFormat/>
    <w:rsid w:val="001B44DE"/>
    <w:pPr>
      <w:keepNext/>
      <w:keepLines/>
      <w:numPr>
        <w:ilvl w:val="1"/>
        <w:numId w:val="14"/>
      </w:numPr>
      <w:tabs>
        <w:tab w:val="clear" w:pos="709"/>
        <w:tab w:val="num" w:pos="567"/>
      </w:tabs>
      <w:spacing w:before="200" w:line="240" w:lineRule="auto"/>
      <w:ind w:left="567"/>
      <w:outlineLvl w:val="1"/>
    </w:pPr>
    <w:rPr>
      <w:rFonts w:ascii="Arial" w:eastAsiaTheme="majorEastAsia" w:hAnsi="Arial" w:cstheme="majorBidi"/>
      <w:bCs w:val="0"/>
      <w:color w:val="000000" w:themeColor="text1"/>
      <w:sz w:val="28"/>
      <w:szCs w:val="26"/>
    </w:rPr>
  </w:style>
  <w:style w:type="paragraph" w:styleId="Heading3">
    <w:name w:val="heading 3"/>
    <w:basedOn w:val="Normal"/>
    <w:next w:val="Normal"/>
    <w:link w:val="Heading3Char"/>
    <w:unhideWhenUsed/>
    <w:qFormat/>
    <w:rsid w:val="001B44DE"/>
    <w:pPr>
      <w:keepNext/>
      <w:keepLines/>
      <w:spacing w:before="200" w:after="0"/>
      <w:ind w:left="720" w:hanging="720"/>
      <w:outlineLvl w:val="2"/>
    </w:pPr>
    <w:rPr>
      <w:rFonts w:ascii="Arial" w:eastAsiaTheme="majorEastAsia" w:hAnsi="Arial" w:cstheme="majorBidi"/>
      <w:b/>
      <w:bCs w:val="0"/>
      <w:color w:val="000000" w:themeColor="text1"/>
    </w:rPr>
  </w:style>
  <w:style w:type="paragraph" w:styleId="Heading4">
    <w:name w:val="heading 4"/>
    <w:basedOn w:val="Normal"/>
    <w:next w:val="Normal"/>
    <w:link w:val="Heading4Char"/>
    <w:qFormat/>
    <w:rsid w:val="001B44DE"/>
    <w:pPr>
      <w:keepNext/>
      <w:keepLines/>
      <w:numPr>
        <w:ilvl w:val="3"/>
        <w:numId w:val="3"/>
      </w:numPr>
      <w:spacing w:before="200"/>
      <w:outlineLvl w:val="3"/>
    </w:pPr>
    <w:rPr>
      <w:rFonts w:asciiTheme="majorHAnsi" w:eastAsiaTheme="majorEastAsia" w:hAnsiTheme="majorHAnsi" w:cstheme="majorBidi"/>
      <w:b/>
      <w:bCs w:val="0"/>
      <w:i/>
      <w:iCs/>
      <w:color w:val="4F81BD" w:themeColor="accent1"/>
    </w:rPr>
  </w:style>
  <w:style w:type="paragraph" w:styleId="Heading5">
    <w:name w:val="heading 5"/>
    <w:basedOn w:val="Normal"/>
    <w:next w:val="Normal"/>
    <w:link w:val="Heading5Char"/>
    <w:qFormat/>
    <w:rsid w:val="001B44DE"/>
    <w:pPr>
      <w:keepNext/>
      <w:keepLines/>
      <w:numPr>
        <w:ilvl w:val="4"/>
        <w:numId w:val="3"/>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1B44DE"/>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1B44D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1B44DE"/>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1B44DE"/>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D6EF4"/>
    <w:rPr>
      <w:rFonts w:ascii="Lucida Grande" w:hAnsi="Lucida Grande"/>
      <w:sz w:val="18"/>
      <w:szCs w:val="18"/>
    </w:rPr>
  </w:style>
  <w:style w:type="character" w:customStyle="1" w:styleId="BalloonTextChar">
    <w:name w:val="Balloon Text Char"/>
    <w:basedOn w:val="DefaultParagraphFont"/>
    <w:uiPriority w:val="99"/>
    <w:semiHidden/>
    <w:rsid w:val="00FB6BEA"/>
    <w:rPr>
      <w:rFonts w:ascii="Lucida Grande" w:hAnsi="Lucida Grande"/>
      <w:sz w:val="18"/>
      <w:szCs w:val="18"/>
    </w:rPr>
  </w:style>
  <w:style w:type="character" w:customStyle="1" w:styleId="BalloonTextChar0">
    <w:name w:val="Balloon Text Char"/>
    <w:basedOn w:val="DefaultParagraphFont"/>
    <w:uiPriority w:val="99"/>
    <w:semiHidden/>
    <w:rsid w:val="00FB6BEA"/>
    <w:rPr>
      <w:rFonts w:ascii="Lucida Grande" w:hAnsi="Lucida Grande"/>
      <w:sz w:val="18"/>
      <w:szCs w:val="18"/>
    </w:rPr>
  </w:style>
  <w:style w:type="character" w:customStyle="1" w:styleId="BalloonTextChar2">
    <w:name w:val="Balloon Text Char"/>
    <w:basedOn w:val="DefaultParagraphFont"/>
    <w:uiPriority w:val="99"/>
    <w:semiHidden/>
    <w:rsid w:val="00FB6BEA"/>
    <w:rPr>
      <w:rFonts w:ascii="Lucida Grande" w:hAnsi="Lucida Grande"/>
      <w:sz w:val="18"/>
      <w:szCs w:val="18"/>
    </w:rPr>
  </w:style>
  <w:style w:type="character" w:customStyle="1" w:styleId="BalloonTextChar3">
    <w:name w:val="Balloon Text Char"/>
    <w:basedOn w:val="DefaultParagraphFont"/>
    <w:uiPriority w:val="99"/>
    <w:semiHidden/>
    <w:rsid w:val="0031409C"/>
    <w:rPr>
      <w:rFonts w:ascii="Lucida Grande" w:hAnsi="Lucida Grande"/>
      <w:sz w:val="18"/>
      <w:szCs w:val="18"/>
    </w:rPr>
  </w:style>
  <w:style w:type="character" w:customStyle="1" w:styleId="BalloonTextChar4">
    <w:name w:val="Balloon Text Char"/>
    <w:basedOn w:val="DefaultParagraphFont"/>
    <w:uiPriority w:val="99"/>
    <w:semiHidden/>
    <w:rsid w:val="0031409C"/>
    <w:rPr>
      <w:rFonts w:ascii="Lucida Grande" w:hAnsi="Lucida Grande"/>
      <w:sz w:val="18"/>
      <w:szCs w:val="18"/>
    </w:rPr>
  </w:style>
  <w:style w:type="character" w:customStyle="1" w:styleId="BalloonTextChar5">
    <w:name w:val="Balloon Text Char"/>
    <w:basedOn w:val="DefaultParagraphFont"/>
    <w:uiPriority w:val="99"/>
    <w:semiHidden/>
    <w:rsid w:val="0031409C"/>
    <w:rPr>
      <w:rFonts w:ascii="Lucida Grande" w:hAnsi="Lucida Grande"/>
      <w:sz w:val="18"/>
      <w:szCs w:val="18"/>
    </w:rPr>
  </w:style>
  <w:style w:type="character" w:customStyle="1" w:styleId="BalloonTextChar6">
    <w:name w:val="Balloon Text Char"/>
    <w:basedOn w:val="DefaultParagraphFont"/>
    <w:uiPriority w:val="99"/>
    <w:semiHidden/>
    <w:rsid w:val="0031409C"/>
    <w:rPr>
      <w:rFonts w:ascii="Lucida Grande" w:hAnsi="Lucida Grande"/>
      <w:sz w:val="18"/>
      <w:szCs w:val="18"/>
    </w:rPr>
  </w:style>
  <w:style w:type="character" w:customStyle="1" w:styleId="BalloonTextChar7">
    <w:name w:val="Balloon Text Char"/>
    <w:basedOn w:val="DefaultParagraphFont"/>
    <w:uiPriority w:val="99"/>
    <w:semiHidden/>
    <w:rsid w:val="0031409C"/>
    <w:rPr>
      <w:rFonts w:ascii="Lucida Grande" w:hAnsi="Lucida Grande"/>
      <w:sz w:val="18"/>
      <w:szCs w:val="18"/>
    </w:rPr>
  </w:style>
  <w:style w:type="character" w:customStyle="1" w:styleId="BalloonTextChar8">
    <w:name w:val="Balloon Text Char"/>
    <w:basedOn w:val="DefaultParagraphFont"/>
    <w:uiPriority w:val="99"/>
    <w:semiHidden/>
    <w:rsid w:val="0031409C"/>
    <w:rPr>
      <w:rFonts w:ascii="Lucida Grande" w:hAnsi="Lucida Grande"/>
      <w:sz w:val="18"/>
      <w:szCs w:val="18"/>
    </w:rPr>
  </w:style>
  <w:style w:type="character" w:customStyle="1" w:styleId="BalloonTextChar9">
    <w:name w:val="Balloon Text Char"/>
    <w:basedOn w:val="DefaultParagraphFont"/>
    <w:uiPriority w:val="99"/>
    <w:semiHidden/>
    <w:rsid w:val="0031409C"/>
    <w:rPr>
      <w:rFonts w:ascii="Lucida Grande" w:hAnsi="Lucida Grande"/>
      <w:sz w:val="18"/>
      <w:szCs w:val="18"/>
    </w:rPr>
  </w:style>
  <w:style w:type="character" w:customStyle="1" w:styleId="BalloonTextChara">
    <w:name w:val="Balloon Text Char"/>
    <w:basedOn w:val="DefaultParagraphFont"/>
    <w:uiPriority w:val="99"/>
    <w:semiHidden/>
    <w:rsid w:val="0031409C"/>
    <w:rPr>
      <w:rFonts w:ascii="Lucida Grande" w:hAnsi="Lucida Grande"/>
      <w:sz w:val="18"/>
      <w:szCs w:val="18"/>
    </w:rPr>
  </w:style>
  <w:style w:type="character" w:customStyle="1" w:styleId="BalloonTextCharb">
    <w:name w:val="Balloon Text Char"/>
    <w:basedOn w:val="DefaultParagraphFont"/>
    <w:uiPriority w:val="99"/>
    <w:semiHidden/>
    <w:rsid w:val="00AB0592"/>
    <w:rPr>
      <w:rFonts w:ascii="Lucida Grande" w:hAnsi="Lucida Grande"/>
      <w:sz w:val="18"/>
      <w:szCs w:val="18"/>
    </w:rPr>
  </w:style>
  <w:style w:type="character" w:customStyle="1" w:styleId="BalloonTextCharc">
    <w:name w:val="Balloon Text Char"/>
    <w:basedOn w:val="DefaultParagraphFont"/>
    <w:uiPriority w:val="99"/>
    <w:semiHidden/>
    <w:rsid w:val="00AB0592"/>
    <w:rPr>
      <w:rFonts w:ascii="Lucida Grande" w:hAnsi="Lucida Grande"/>
      <w:sz w:val="18"/>
      <w:szCs w:val="18"/>
    </w:rPr>
  </w:style>
  <w:style w:type="character" w:customStyle="1" w:styleId="BalloonTextChard">
    <w:name w:val="Balloon Text Char"/>
    <w:basedOn w:val="DefaultParagraphFont"/>
    <w:uiPriority w:val="99"/>
    <w:semiHidden/>
    <w:rsid w:val="00220FCA"/>
    <w:rPr>
      <w:rFonts w:ascii="Lucida Grande" w:hAnsi="Lucida Grande" w:cs="Lucida Grande"/>
      <w:sz w:val="18"/>
      <w:szCs w:val="18"/>
    </w:rPr>
  </w:style>
  <w:style w:type="character" w:customStyle="1" w:styleId="BalloonTextChare">
    <w:name w:val="Balloon Text Char"/>
    <w:basedOn w:val="DefaultParagraphFont"/>
    <w:uiPriority w:val="99"/>
    <w:semiHidden/>
    <w:rsid w:val="00220FCA"/>
    <w:rPr>
      <w:rFonts w:ascii="Lucida Grande" w:hAnsi="Lucida Grande" w:cs="Lucida Grande"/>
      <w:sz w:val="18"/>
      <w:szCs w:val="18"/>
    </w:rPr>
  </w:style>
  <w:style w:type="character" w:customStyle="1" w:styleId="BalloonTextCharf">
    <w:name w:val="Balloon Text Char"/>
    <w:basedOn w:val="DefaultParagraphFont"/>
    <w:uiPriority w:val="99"/>
    <w:semiHidden/>
    <w:rsid w:val="00220FCA"/>
    <w:rPr>
      <w:rFonts w:ascii="Lucida Grande" w:hAnsi="Lucida Grande" w:cs="Lucida Grande"/>
      <w:sz w:val="18"/>
      <w:szCs w:val="18"/>
    </w:rPr>
  </w:style>
  <w:style w:type="character" w:customStyle="1" w:styleId="BalloonTextCharf0">
    <w:name w:val="Balloon Text Char"/>
    <w:basedOn w:val="DefaultParagraphFont"/>
    <w:uiPriority w:val="99"/>
    <w:semiHidden/>
    <w:rsid w:val="00220FCA"/>
    <w:rPr>
      <w:rFonts w:ascii="Lucida Grande" w:hAnsi="Lucida Grande" w:cs="Lucida Grande"/>
      <w:sz w:val="18"/>
      <w:szCs w:val="18"/>
    </w:rPr>
  </w:style>
  <w:style w:type="character" w:customStyle="1" w:styleId="BalloonTextCharf1">
    <w:name w:val="Balloon Text Char"/>
    <w:basedOn w:val="DefaultParagraphFont"/>
    <w:uiPriority w:val="99"/>
    <w:semiHidden/>
    <w:rsid w:val="00220FCA"/>
    <w:rPr>
      <w:rFonts w:ascii="Lucida Grande" w:hAnsi="Lucida Grande" w:cs="Lucida Grande"/>
      <w:sz w:val="18"/>
      <w:szCs w:val="18"/>
    </w:rPr>
  </w:style>
  <w:style w:type="character" w:customStyle="1" w:styleId="BalloonTextCharf2">
    <w:name w:val="Balloon Text Char"/>
    <w:basedOn w:val="DefaultParagraphFont"/>
    <w:uiPriority w:val="99"/>
    <w:semiHidden/>
    <w:rsid w:val="00220FCA"/>
    <w:rPr>
      <w:rFonts w:ascii="Lucida Grande" w:hAnsi="Lucida Grande" w:cs="Lucida Grande"/>
      <w:sz w:val="18"/>
      <w:szCs w:val="18"/>
    </w:rPr>
  </w:style>
  <w:style w:type="paragraph" w:styleId="ListParagraph">
    <w:name w:val="List Paragraph"/>
    <w:basedOn w:val="Normal"/>
    <w:uiPriority w:val="34"/>
    <w:qFormat/>
    <w:rsid w:val="001627D8"/>
    <w:pPr>
      <w:ind w:left="720"/>
      <w:contextualSpacing/>
    </w:pPr>
  </w:style>
  <w:style w:type="character" w:customStyle="1" w:styleId="Heading1Char">
    <w:name w:val="Heading 1 Char"/>
    <w:basedOn w:val="DefaultParagraphFont"/>
    <w:link w:val="Heading1"/>
    <w:rsid w:val="001B44DE"/>
    <w:rPr>
      <w:rFonts w:ascii="Arial" w:eastAsia="Times New Roman" w:hAnsi="Arial" w:cs="Times New Roman"/>
      <w:caps/>
      <w:sz w:val="32"/>
      <w:lang w:val="en-NZ"/>
    </w:rPr>
  </w:style>
  <w:style w:type="character" w:customStyle="1" w:styleId="Heading2Char">
    <w:name w:val="Heading 2 Char"/>
    <w:basedOn w:val="DefaultParagraphFont"/>
    <w:link w:val="Heading2"/>
    <w:rsid w:val="001B44DE"/>
    <w:rPr>
      <w:rFonts w:ascii="Arial" w:eastAsiaTheme="majorEastAsia" w:hAnsi="Arial" w:cstheme="majorBidi"/>
      <w:color w:val="000000" w:themeColor="text1"/>
      <w:sz w:val="28"/>
      <w:szCs w:val="26"/>
      <w:lang w:val="en-GB"/>
    </w:rPr>
  </w:style>
  <w:style w:type="character" w:customStyle="1" w:styleId="Heading3Char">
    <w:name w:val="Heading 3 Char"/>
    <w:basedOn w:val="DefaultParagraphFont"/>
    <w:link w:val="Heading3"/>
    <w:rsid w:val="001B44DE"/>
    <w:rPr>
      <w:rFonts w:ascii="Arial" w:eastAsiaTheme="majorEastAsia" w:hAnsi="Arial" w:cstheme="majorBidi"/>
      <w:b/>
      <w:color w:val="000000" w:themeColor="text1"/>
      <w:sz w:val="22"/>
      <w:lang w:val="en-GB"/>
    </w:rPr>
  </w:style>
  <w:style w:type="paragraph" w:styleId="FootnoteText">
    <w:name w:val="footnote text"/>
    <w:basedOn w:val="Normal"/>
    <w:link w:val="FootnoteTextChar"/>
    <w:unhideWhenUsed/>
    <w:rsid w:val="00F436C0"/>
    <w:pPr>
      <w:spacing w:line="240" w:lineRule="auto"/>
    </w:pPr>
    <w:rPr>
      <w:sz w:val="18"/>
      <w:szCs w:val="18"/>
    </w:rPr>
  </w:style>
  <w:style w:type="character" w:customStyle="1" w:styleId="FootnoteTextChar">
    <w:name w:val="Footnote Text Char"/>
    <w:basedOn w:val="DefaultParagraphFont"/>
    <w:link w:val="FootnoteText"/>
    <w:rsid w:val="00F436C0"/>
    <w:rPr>
      <w:sz w:val="18"/>
      <w:szCs w:val="18"/>
    </w:rPr>
  </w:style>
  <w:style w:type="character" w:styleId="FootnoteReference">
    <w:name w:val="footnote reference"/>
    <w:basedOn w:val="DefaultParagraphFont"/>
    <w:unhideWhenUsed/>
    <w:rsid w:val="00E1172D"/>
    <w:rPr>
      <w:vertAlign w:val="superscript"/>
    </w:rPr>
  </w:style>
  <w:style w:type="character" w:customStyle="1" w:styleId="BalloonTextChar1">
    <w:name w:val="Balloon Text Char1"/>
    <w:basedOn w:val="DefaultParagraphFont"/>
    <w:link w:val="BalloonText"/>
    <w:uiPriority w:val="99"/>
    <w:semiHidden/>
    <w:rsid w:val="002D6EF4"/>
    <w:rPr>
      <w:rFonts w:ascii="Lucida Grande" w:hAnsi="Lucida Grande"/>
      <w:sz w:val="18"/>
      <w:szCs w:val="18"/>
    </w:rPr>
  </w:style>
  <w:style w:type="paragraph" w:customStyle="1" w:styleId="References">
    <w:name w:val="References"/>
    <w:basedOn w:val="Normal"/>
    <w:uiPriority w:val="99"/>
    <w:rsid w:val="00DD0721"/>
    <w:pPr>
      <w:spacing w:after="240" w:line="288" w:lineRule="auto"/>
      <w:ind w:left="284" w:hanging="284"/>
    </w:pPr>
    <w:rPr>
      <w:rFonts w:ascii="Palatino" w:eastAsia="Times New Roman" w:hAnsi="Palatino" w:cs="Courier"/>
      <w:szCs w:val="20"/>
      <w:lang w:val="en-AU"/>
    </w:rPr>
  </w:style>
  <w:style w:type="character" w:styleId="Hyperlink">
    <w:name w:val="Hyperlink"/>
    <w:basedOn w:val="DefaultParagraphFont"/>
    <w:rsid w:val="007005CF"/>
    <w:rPr>
      <w:color w:val="0000FF"/>
      <w:u w:val="single"/>
    </w:rPr>
  </w:style>
  <w:style w:type="paragraph" w:customStyle="1" w:styleId="para">
    <w:name w:val="para"/>
    <w:basedOn w:val="Normal"/>
    <w:uiPriority w:val="99"/>
    <w:rsid w:val="00120DFE"/>
    <w:pPr>
      <w:spacing w:before="40" w:line="280" w:lineRule="atLeast"/>
    </w:pPr>
    <w:rPr>
      <w:rFonts w:ascii="Palatino" w:eastAsia="Times New Roman" w:hAnsi="Palatino" w:cs="Times New Roman"/>
      <w:lang w:val="en-AU"/>
    </w:rPr>
  </w:style>
  <w:style w:type="paragraph" w:customStyle="1" w:styleId="Quote1">
    <w:name w:val="Quote1"/>
    <w:basedOn w:val="para"/>
    <w:autoRedefine/>
    <w:rsid w:val="005C1F9E"/>
    <w:pPr>
      <w:spacing w:before="240" w:line="240" w:lineRule="atLeast"/>
      <w:ind w:left="567" w:right="363"/>
    </w:pPr>
    <w:rPr>
      <w:sz w:val="20"/>
    </w:rPr>
  </w:style>
  <w:style w:type="paragraph" w:customStyle="1" w:styleId="quoteref">
    <w:name w:val="quote ref"/>
    <w:basedOn w:val="para"/>
    <w:rsid w:val="00EF7BC7"/>
    <w:pPr>
      <w:ind w:left="567" w:right="645"/>
      <w:jc w:val="right"/>
    </w:pPr>
    <w:rPr>
      <w:rFonts w:ascii="Times New Roman" w:hAnsi="Times New Roman"/>
      <w:sz w:val="20"/>
    </w:rPr>
  </w:style>
  <w:style w:type="character" w:customStyle="1" w:styleId="FootnoteTextChar1">
    <w:name w:val="Footnote Text Char1"/>
    <w:basedOn w:val="DefaultParagraphFont"/>
    <w:locked/>
    <w:rsid w:val="009F60C5"/>
    <w:rPr>
      <w:rFonts w:ascii="Cambria" w:hAnsi="Cambria" w:cs="Times New Roman"/>
      <w:sz w:val="24"/>
      <w:szCs w:val="24"/>
      <w:lang w:val="en-GB" w:eastAsia="en-US" w:bidi="ar-SA"/>
    </w:rPr>
  </w:style>
  <w:style w:type="paragraph" w:customStyle="1" w:styleId="TECworknormal">
    <w:name w:val="TECworknormal"/>
    <w:basedOn w:val="Normal"/>
    <w:qFormat/>
    <w:rsid w:val="009F60C5"/>
    <w:pPr>
      <w:spacing w:before="240" w:after="200"/>
    </w:pPr>
    <w:rPr>
      <w:rFonts w:ascii="Arial" w:eastAsia="Times New Roman" w:hAnsi="Arial" w:cs="Arial"/>
      <w:szCs w:val="22"/>
      <w:lang w:val="en-NZ"/>
    </w:rPr>
  </w:style>
  <w:style w:type="paragraph" w:customStyle="1" w:styleId="TECheading3">
    <w:name w:val="TECheading3"/>
    <w:basedOn w:val="Heading3"/>
    <w:qFormat/>
    <w:rsid w:val="009F60C5"/>
    <w:pPr>
      <w:keepLines w:val="0"/>
      <w:tabs>
        <w:tab w:val="left" w:pos="6120"/>
      </w:tabs>
      <w:spacing w:before="0" w:after="200"/>
    </w:pPr>
    <w:rPr>
      <w:rFonts w:eastAsia="Times New Roman" w:cs="Arial"/>
      <w:bCs/>
      <w:iCs/>
      <w:color w:val="auto"/>
      <w:sz w:val="28"/>
      <w:szCs w:val="28"/>
      <w:lang w:val="en-NZ"/>
    </w:rPr>
  </w:style>
  <w:style w:type="paragraph" w:customStyle="1" w:styleId="TECheading4">
    <w:name w:val="TECheading4"/>
    <w:basedOn w:val="Heading4"/>
    <w:qFormat/>
    <w:rsid w:val="001B44DE"/>
    <w:pPr>
      <w:keepLines w:val="0"/>
      <w:spacing w:before="240"/>
    </w:pPr>
    <w:rPr>
      <w:rFonts w:ascii="Arial" w:eastAsia="Times New Roman" w:hAnsi="Arial" w:cs="Arial"/>
      <w:bCs/>
      <w:i w:val="0"/>
      <w:iCs w:val="0"/>
      <w:color w:val="auto"/>
      <w:szCs w:val="22"/>
      <w:lang w:val="en-NZ"/>
    </w:rPr>
  </w:style>
  <w:style w:type="character" w:customStyle="1" w:styleId="Heading4Char">
    <w:name w:val="Heading 4 Char"/>
    <w:basedOn w:val="DefaultParagraphFont"/>
    <w:link w:val="Heading4"/>
    <w:rsid w:val="001B44DE"/>
    <w:rPr>
      <w:rFonts w:asciiTheme="majorHAnsi" w:eastAsiaTheme="majorEastAsia" w:hAnsiTheme="majorHAnsi" w:cstheme="majorBidi"/>
      <w:b/>
      <w:i/>
      <w:iCs/>
      <w:color w:val="4F81BD" w:themeColor="accent1"/>
      <w:sz w:val="22"/>
      <w:lang w:val="en-GB"/>
    </w:rPr>
  </w:style>
  <w:style w:type="character" w:customStyle="1" w:styleId="Heading5Char">
    <w:name w:val="Heading 5 Char"/>
    <w:basedOn w:val="DefaultParagraphFont"/>
    <w:link w:val="Heading5"/>
    <w:rsid w:val="001B44DE"/>
    <w:rPr>
      <w:rFonts w:asciiTheme="majorHAnsi" w:eastAsiaTheme="majorEastAsia" w:hAnsiTheme="majorHAnsi" w:cstheme="majorBidi"/>
      <w:bCs/>
      <w:color w:val="244061" w:themeColor="accent1" w:themeShade="80"/>
      <w:sz w:val="22"/>
      <w:lang w:val="en-GB"/>
    </w:rPr>
  </w:style>
  <w:style w:type="paragraph" w:styleId="BodyText">
    <w:name w:val="Body Text"/>
    <w:basedOn w:val="Normal"/>
    <w:link w:val="BodyTextChar"/>
    <w:rsid w:val="00545DFC"/>
    <w:rPr>
      <w:rFonts w:eastAsia="Times" w:cs="Times New Roman"/>
      <w:szCs w:val="20"/>
    </w:rPr>
  </w:style>
  <w:style w:type="character" w:customStyle="1" w:styleId="BodyTextChar">
    <w:name w:val="Body Text Char"/>
    <w:basedOn w:val="DefaultParagraphFont"/>
    <w:link w:val="BodyText"/>
    <w:rsid w:val="00545DFC"/>
    <w:rPr>
      <w:rFonts w:ascii="Times New Roman" w:eastAsia="Times" w:hAnsi="Times New Roman" w:cs="Times New Roman"/>
      <w:sz w:val="22"/>
      <w:szCs w:val="20"/>
      <w:lang w:val="en-GB"/>
    </w:rPr>
  </w:style>
  <w:style w:type="table" w:styleId="TableGrid">
    <w:name w:val="Table Grid"/>
    <w:basedOn w:val="TableNormal"/>
    <w:uiPriority w:val="59"/>
    <w:rsid w:val="00466239"/>
    <w:rPr>
      <w:rFonts w:eastAsiaTheme="minorHAns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nhideWhenUsed/>
    <w:rsid w:val="001B44DE"/>
    <w:pPr>
      <w:numPr>
        <w:numId w:val="1"/>
      </w:numPr>
    </w:pPr>
    <w:rPr>
      <w:rFonts w:eastAsiaTheme="minorHAnsi"/>
      <w:sz w:val="20"/>
    </w:rPr>
  </w:style>
  <w:style w:type="character" w:styleId="CommentReference">
    <w:name w:val="annotation reference"/>
    <w:basedOn w:val="DefaultParagraphFont"/>
    <w:uiPriority w:val="99"/>
    <w:rsid w:val="00904B29"/>
    <w:rPr>
      <w:sz w:val="18"/>
      <w:szCs w:val="18"/>
    </w:rPr>
  </w:style>
  <w:style w:type="paragraph" w:styleId="CommentText">
    <w:name w:val="annotation text"/>
    <w:basedOn w:val="Normal"/>
    <w:link w:val="CommentTextChar"/>
    <w:uiPriority w:val="99"/>
    <w:rsid w:val="00904B29"/>
  </w:style>
  <w:style w:type="character" w:customStyle="1" w:styleId="CommentTextChar">
    <w:name w:val="Comment Text Char"/>
    <w:basedOn w:val="DefaultParagraphFont"/>
    <w:link w:val="CommentText"/>
    <w:uiPriority w:val="99"/>
    <w:rsid w:val="00904B29"/>
    <w:rPr>
      <w:rFonts w:ascii="Times New Roman" w:hAnsi="Times New Roman"/>
    </w:rPr>
  </w:style>
  <w:style w:type="paragraph" w:styleId="Footer">
    <w:name w:val="footer"/>
    <w:basedOn w:val="Normal"/>
    <w:link w:val="FooterChar"/>
    <w:rsid w:val="00F64D3F"/>
    <w:pPr>
      <w:tabs>
        <w:tab w:val="center" w:pos="4320"/>
        <w:tab w:val="right" w:pos="8640"/>
      </w:tabs>
      <w:spacing w:line="240" w:lineRule="auto"/>
    </w:pPr>
  </w:style>
  <w:style w:type="character" w:customStyle="1" w:styleId="FooterChar">
    <w:name w:val="Footer Char"/>
    <w:basedOn w:val="DefaultParagraphFont"/>
    <w:link w:val="Footer"/>
    <w:rsid w:val="00F64D3F"/>
    <w:rPr>
      <w:sz w:val="22"/>
    </w:rPr>
  </w:style>
  <w:style w:type="character" w:styleId="PageNumber">
    <w:name w:val="page number"/>
    <w:basedOn w:val="DefaultParagraphFont"/>
    <w:rsid w:val="00F64D3F"/>
  </w:style>
  <w:style w:type="paragraph" w:styleId="EndnoteText">
    <w:name w:val="endnote text"/>
    <w:basedOn w:val="Normal"/>
    <w:link w:val="EndnoteTextChar"/>
    <w:rsid w:val="00324ABD"/>
    <w:pPr>
      <w:spacing w:line="240" w:lineRule="auto"/>
    </w:pPr>
    <w:rPr>
      <w:szCs w:val="22"/>
    </w:rPr>
  </w:style>
  <w:style w:type="character" w:customStyle="1" w:styleId="EndnoteTextChar">
    <w:name w:val="Endnote Text Char"/>
    <w:basedOn w:val="DefaultParagraphFont"/>
    <w:link w:val="EndnoteText"/>
    <w:rsid w:val="00324ABD"/>
    <w:rPr>
      <w:sz w:val="22"/>
      <w:szCs w:val="22"/>
    </w:rPr>
  </w:style>
  <w:style w:type="character" w:styleId="EndnoteReference">
    <w:name w:val="endnote reference"/>
    <w:basedOn w:val="DefaultParagraphFont"/>
    <w:rsid w:val="00C735E1"/>
    <w:rPr>
      <w:vertAlign w:val="superscript"/>
    </w:rPr>
  </w:style>
  <w:style w:type="paragraph" w:styleId="Header">
    <w:name w:val="header"/>
    <w:basedOn w:val="Normal"/>
    <w:link w:val="HeaderChar"/>
    <w:rsid w:val="0030610F"/>
    <w:pPr>
      <w:tabs>
        <w:tab w:val="center" w:pos="4320"/>
        <w:tab w:val="right" w:pos="8640"/>
      </w:tabs>
      <w:spacing w:line="240" w:lineRule="auto"/>
    </w:pPr>
  </w:style>
  <w:style w:type="character" w:customStyle="1" w:styleId="HeaderChar">
    <w:name w:val="Header Char"/>
    <w:basedOn w:val="DefaultParagraphFont"/>
    <w:link w:val="Header"/>
    <w:rsid w:val="0030610F"/>
    <w:rPr>
      <w:sz w:val="22"/>
    </w:rPr>
  </w:style>
  <w:style w:type="paragraph" w:styleId="NormalWeb">
    <w:name w:val="Normal (Web)"/>
    <w:basedOn w:val="Normal"/>
    <w:uiPriority w:val="99"/>
    <w:rsid w:val="00F54D9E"/>
    <w:pPr>
      <w:spacing w:beforeLines="1" w:afterLines="1" w:line="240" w:lineRule="auto"/>
    </w:pPr>
    <w:rPr>
      <w:rFonts w:ascii="Times" w:hAnsi="Times" w:cs="Times New Roman"/>
      <w:sz w:val="20"/>
      <w:szCs w:val="20"/>
      <w:lang w:val="en-AU"/>
    </w:rPr>
  </w:style>
  <w:style w:type="paragraph" w:styleId="PlainText">
    <w:name w:val="Plain Text"/>
    <w:basedOn w:val="Normal"/>
    <w:link w:val="PlainTextChar"/>
    <w:uiPriority w:val="99"/>
    <w:unhideWhenUsed/>
    <w:rsid w:val="008A09B6"/>
    <w:pPr>
      <w:spacing w:line="240" w:lineRule="auto"/>
    </w:pPr>
    <w:rPr>
      <w:rFonts w:ascii="Courier" w:eastAsiaTheme="minorHAnsi" w:hAnsi="Courier"/>
      <w:sz w:val="21"/>
      <w:szCs w:val="21"/>
      <w:lang w:val="en-AU"/>
    </w:rPr>
  </w:style>
  <w:style w:type="character" w:customStyle="1" w:styleId="PlainTextChar">
    <w:name w:val="Plain Text Char"/>
    <w:basedOn w:val="DefaultParagraphFont"/>
    <w:link w:val="PlainText"/>
    <w:uiPriority w:val="99"/>
    <w:rsid w:val="008A09B6"/>
    <w:rPr>
      <w:rFonts w:ascii="Courier" w:eastAsiaTheme="minorHAnsi" w:hAnsi="Courier"/>
      <w:sz w:val="21"/>
      <w:szCs w:val="21"/>
      <w:lang w:val="en-AU"/>
    </w:rPr>
  </w:style>
  <w:style w:type="character" w:styleId="FollowedHyperlink">
    <w:name w:val="FollowedHyperlink"/>
    <w:basedOn w:val="DefaultParagraphFont"/>
    <w:rsid w:val="0073692E"/>
    <w:rPr>
      <w:color w:val="800080" w:themeColor="followedHyperlink"/>
      <w:u w:val="single"/>
    </w:rPr>
  </w:style>
  <w:style w:type="paragraph" w:styleId="Quote">
    <w:name w:val="Quote"/>
    <w:basedOn w:val="Normal"/>
    <w:link w:val="QuoteChar"/>
    <w:rsid w:val="00FA4C62"/>
    <w:pPr>
      <w:spacing w:after="160" w:line="280" w:lineRule="exact"/>
      <w:ind w:left="851"/>
    </w:pPr>
    <w:rPr>
      <w:rFonts w:ascii="Times New Roman Mäori" w:eastAsia="Times New Roman" w:hAnsi="Times New Roman Mäori" w:cs="Times New Roman"/>
      <w:sz w:val="20"/>
      <w:szCs w:val="20"/>
    </w:rPr>
  </w:style>
  <w:style w:type="character" w:customStyle="1" w:styleId="QuoteChar">
    <w:name w:val="Quote Char"/>
    <w:basedOn w:val="DefaultParagraphFont"/>
    <w:link w:val="Quote"/>
    <w:rsid w:val="00FA4C62"/>
    <w:rPr>
      <w:rFonts w:ascii="Times New Roman Mäori" w:eastAsia="Times New Roman" w:hAnsi="Times New Roman Mäori" w:cs="Times New Roman"/>
      <w:sz w:val="20"/>
      <w:szCs w:val="20"/>
      <w:lang w:val="en-GB"/>
    </w:rPr>
  </w:style>
  <w:style w:type="paragraph" w:customStyle="1" w:styleId="Bullet">
    <w:name w:val="Bullet"/>
    <w:basedOn w:val="Normal"/>
    <w:rsid w:val="001B44DE"/>
    <w:pPr>
      <w:numPr>
        <w:numId w:val="2"/>
      </w:numPr>
      <w:tabs>
        <w:tab w:val="clear" w:pos="360"/>
        <w:tab w:val="left" w:pos="284"/>
      </w:tabs>
    </w:pPr>
    <w:rPr>
      <w:rFonts w:ascii="Times New Roman Mäori" w:eastAsia="Times New Roman" w:hAnsi="Times New Roman Mäori" w:cs="Times New Roman"/>
      <w:sz w:val="21"/>
      <w:szCs w:val="20"/>
    </w:rPr>
  </w:style>
  <w:style w:type="paragraph" w:styleId="BodyTextIndent">
    <w:name w:val="Body Text Indent"/>
    <w:basedOn w:val="Normal"/>
    <w:link w:val="BodyTextIndentChar"/>
    <w:uiPriority w:val="99"/>
    <w:unhideWhenUsed/>
    <w:rsid w:val="00FA4C62"/>
    <w:pPr>
      <w:ind w:left="283"/>
    </w:pPr>
    <w:rPr>
      <w:rFonts w:ascii="Times New Roman Mäori" w:eastAsia="Times New Roman" w:hAnsi="Times New Roman Mäori" w:cs="Times New Roman"/>
      <w:sz w:val="21"/>
      <w:szCs w:val="20"/>
    </w:rPr>
  </w:style>
  <w:style w:type="character" w:customStyle="1" w:styleId="BodyTextIndentChar">
    <w:name w:val="Body Text Indent Char"/>
    <w:basedOn w:val="DefaultParagraphFont"/>
    <w:link w:val="BodyTextIndent"/>
    <w:uiPriority w:val="99"/>
    <w:rsid w:val="00FA4C62"/>
    <w:rPr>
      <w:rFonts w:ascii="Times New Roman Mäori" w:eastAsia="Times New Roman" w:hAnsi="Times New Roman Mäori" w:cs="Times New Roman"/>
      <w:sz w:val="21"/>
      <w:szCs w:val="20"/>
      <w:lang w:val="en-GB"/>
    </w:rPr>
  </w:style>
  <w:style w:type="paragraph" w:customStyle="1" w:styleId="b">
    <w:name w:val="b"/>
    <w:basedOn w:val="Normal"/>
    <w:rsid w:val="00FA4C62"/>
    <w:pPr>
      <w:spacing w:after="160"/>
    </w:pPr>
    <w:rPr>
      <w:rFonts w:ascii="Times New Roman Mäori" w:eastAsia="Times New Roman" w:hAnsi="Times New Roman Mäori" w:cs="Times New Roman"/>
      <w:sz w:val="21"/>
      <w:szCs w:val="20"/>
    </w:rPr>
  </w:style>
  <w:style w:type="character" w:customStyle="1" w:styleId="Heading6Char">
    <w:name w:val="Heading 6 Char"/>
    <w:basedOn w:val="DefaultParagraphFont"/>
    <w:link w:val="Heading6"/>
    <w:rsid w:val="001B44DE"/>
    <w:rPr>
      <w:rFonts w:asciiTheme="majorHAnsi" w:eastAsiaTheme="majorEastAsia" w:hAnsiTheme="majorHAnsi" w:cstheme="majorBidi"/>
      <w:bCs/>
      <w:i/>
      <w:iCs/>
      <w:color w:val="243F60" w:themeColor="accent1" w:themeShade="7F"/>
      <w:sz w:val="22"/>
      <w:lang w:val="en-GB"/>
    </w:rPr>
  </w:style>
  <w:style w:type="character" w:customStyle="1" w:styleId="Heading7Char">
    <w:name w:val="Heading 7 Char"/>
    <w:basedOn w:val="DefaultParagraphFont"/>
    <w:link w:val="Heading7"/>
    <w:rsid w:val="001B44DE"/>
    <w:rPr>
      <w:rFonts w:asciiTheme="majorHAnsi" w:eastAsiaTheme="majorEastAsia" w:hAnsiTheme="majorHAnsi" w:cstheme="majorBidi"/>
      <w:bCs/>
      <w:i/>
      <w:iCs/>
      <w:color w:val="404040" w:themeColor="text1" w:themeTint="BF"/>
      <w:sz w:val="22"/>
      <w:lang w:val="en-GB"/>
    </w:rPr>
  </w:style>
  <w:style w:type="character" w:customStyle="1" w:styleId="Heading8Char">
    <w:name w:val="Heading 8 Char"/>
    <w:basedOn w:val="DefaultParagraphFont"/>
    <w:link w:val="Heading8"/>
    <w:rsid w:val="001B44DE"/>
    <w:rPr>
      <w:rFonts w:asciiTheme="majorHAnsi" w:eastAsiaTheme="majorEastAsia" w:hAnsiTheme="majorHAnsi" w:cstheme="majorBidi"/>
      <w:bCs/>
      <w:color w:val="404040" w:themeColor="text1" w:themeTint="BF"/>
      <w:sz w:val="20"/>
      <w:szCs w:val="20"/>
      <w:lang w:val="en-GB"/>
    </w:rPr>
  </w:style>
  <w:style w:type="character" w:customStyle="1" w:styleId="Heading9Char">
    <w:name w:val="Heading 9 Char"/>
    <w:basedOn w:val="DefaultParagraphFont"/>
    <w:link w:val="Heading9"/>
    <w:rsid w:val="001B44DE"/>
    <w:rPr>
      <w:rFonts w:asciiTheme="majorHAnsi" w:eastAsiaTheme="majorEastAsia" w:hAnsiTheme="majorHAnsi" w:cstheme="majorBidi"/>
      <w:bCs/>
      <w:i/>
      <w:iCs/>
      <w:color w:val="404040" w:themeColor="text1" w:themeTint="BF"/>
      <w:sz w:val="20"/>
      <w:szCs w:val="20"/>
      <w:lang w:val="en-GB"/>
    </w:rPr>
  </w:style>
  <w:style w:type="paragraph" w:customStyle="1" w:styleId="Heading-Figure">
    <w:name w:val="Heading - Figure"/>
    <w:basedOn w:val="Normal"/>
    <w:qFormat/>
    <w:rsid w:val="009A1AD4"/>
    <w:pPr>
      <w:keepNext/>
      <w:tabs>
        <w:tab w:val="left" w:pos="992"/>
      </w:tabs>
      <w:spacing w:line="240" w:lineRule="atLeast"/>
      <w:ind w:left="992" w:hanging="992"/>
    </w:pPr>
    <w:rPr>
      <w:rFonts w:ascii="Arial" w:eastAsia="Times New Roman" w:hAnsi="Arial" w:cs="Times New Roman"/>
      <w:b/>
      <w:sz w:val="20"/>
      <w:szCs w:val="20"/>
      <w:lang w:eastAsia="en-NZ"/>
    </w:rPr>
  </w:style>
  <w:style w:type="paragraph" w:customStyle="1" w:styleId="NoteUnderTable">
    <w:name w:val="NoteUnderTable"/>
    <w:basedOn w:val="Normal"/>
    <w:link w:val="NoteUnderTableChar"/>
    <w:rsid w:val="009A1AD4"/>
    <w:pPr>
      <w:spacing w:before="60" w:line="200" w:lineRule="atLeast"/>
    </w:pPr>
    <w:rPr>
      <w:rFonts w:ascii="Arial" w:eastAsia="Times New Roman" w:hAnsi="Arial" w:cs="Sendnya"/>
      <w:noProof/>
      <w:sz w:val="16"/>
      <w:szCs w:val="18"/>
      <w:lang w:val="en-NZ" w:eastAsia="en-NZ"/>
    </w:rPr>
  </w:style>
  <w:style w:type="character" w:customStyle="1" w:styleId="NoteUnderTableChar">
    <w:name w:val="NoteUnderTable Char"/>
    <w:basedOn w:val="DefaultParagraphFont"/>
    <w:link w:val="NoteUnderTable"/>
    <w:rsid w:val="009A1AD4"/>
    <w:rPr>
      <w:rFonts w:ascii="Arial" w:eastAsia="Times New Roman" w:hAnsi="Arial" w:cs="Sendnya"/>
      <w:noProof/>
      <w:sz w:val="16"/>
      <w:szCs w:val="18"/>
      <w:lang w:val="en-NZ" w:eastAsia="en-NZ"/>
    </w:rPr>
  </w:style>
  <w:style w:type="paragraph" w:styleId="Caption">
    <w:name w:val="caption"/>
    <w:basedOn w:val="Normal"/>
    <w:next w:val="Normal"/>
    <w:rsid w:val="00E57CE7"/>
    <w:pPr>
      <w:spacing w:before="80" w:after="80" w:line="240" w:lineRule="auto"/>
    </w:pPr>
    <w:rPr>
      <w:rFonts w:ascii="Arial" w:hAnsi="Arial"/>
      <w:bCs w:val="0"/>
      <w:color w:val="000000" w:themeColor="text1"/>
      <w:sz w:val="18"/>
      <w:szCs w:val="18"/>
    </w:rPr>
  </w:style>
  <w:style w:type="paragraph" w:customStyle="1" w:styleId="NSTabletext">
    <w:name w:val="NS Table text"/>
    <w:basedOn w:val="Normal"/>
    <w:qFormat/>
    <w:rsid w:val="00C63BB6"/>
    <w:pPr>
      <w:framePr w:hSpace="181" w:wrap="around" w:vAnchor="text" w:hAnchor="margin" w:y="8"/>
      <w:spacing w:before="40" w:after="40" w:line="240" w:lineRule="atLeast"/>
      <w:jc w:val="center"/>
    </w:pPr>
    <w:rPr>
      <w:rFonts w:ascii="Arial" w:eastAsia="MS Mincho" w:hAnsi="Arial" w:cs="Times New Roman"/>
      <w:sz w:val="18"/>
      <w:szCs w:val="20"/>
      <w:lang w:val="en-NZ" w:eastAsia="en-NZ"/>
    </w:rPr>
  </w:style>
  <w:style w:type="character" w:customStyle="1" w:styleId="apple-converted-space">
    <w:name w:val="apple-converted-space"/>
    <w:basedOn w:val="DefaultParagraphFont"/>
    <w:rsid w:val="003912A2"/>
  </w:style>
  <w:style w:type="paragraph" w:styleId="CommentSubject">
    <w:name w:val="annotation subject"/>
    <w:basedOn w:val="CommentText"/>
    <w:next w:val="CommentText"/>
    <w:link w:val="CommentSubjectChar"/>
    <w:rsid w:val="00324ABD"/>
    <w:pPr>
      <w:spacing w:line="240" w:lineRule="auto"/>
    </w:pPr>
    <w:rPr>
      <w:rFonts w:asciiTheme="minorHAnsi" w:hAnsiTheme="minorHAnsi"/>
      <w:b/>
      <w:bCs w:val="0"/>
      <w:sz w:val="20"/>
      <w:szCs w:val="20"/>
    </w:rPr>
  </w:style>
  <w:style w:type="character" w:customStyle="1" w:styleId="CommentSubjectChar">
    <w:name w:val="Comment Subject Char"/>
    <w:basedOn w:val="CommentTextChar"/>
    <w:link w:val="CommentSubject"/>
    <w:rsid w:val="00324ABD"/>
    <w:rPr>
      <w:rFonts w:ascii="Times New Roman" w:hAnsi="Times New Roman"/>
      <w:b/>
      <w:bCs/>
      <w:sz w:val="20"/>
      <w:szCs w:val="20"/>
    </w:rPr>
  </w:style>
  <w:style w:type="paragraph" w:customStyle="1" w:styleId="Figuretitle">
    <w:name w:val="Figure title"/>
    <w:basedOn w:val="Caption"/>
    <w:qFormat/>
    <w:rsid w:val="00911D75"/>
    <w:pPr>
      <w:spacing w:line="320" w:lineRule="exact"/>
    </w:pPr>
    <w:rPr>
      <w:rFonts w:eastAsiaTheme="minorHAnsi"/>
    </w:rPr>
  </w:style>
  <w:style w:type="paragraph" w:customStyle="1" w:styleId="Tabletitle">
    <w:name w:val="Table title"/>
    <w:basedOn w:val="Caption"/>
    <w:qFormat/>
    <w:rsid w:val="00911D75"/>
    <w:pPr>
      <w:keepNext/>
      <w:spacing w:line="320" w:lineRule="exact"/>
    </w:pPr>
  </w:style>
  <w:style w:type="paragraph" w:customStyle="1" w:styleId="Heading1notinTOC">
    <w:name w:val="Heading 1 not in TOC"/>
    <w:basedOn w:val="Normal"/>
    <w:qFormat/>
    <w:rsid w:val="003B2EBF"/>
    <w:pPr>
      <w:pBdr>
        <w:bottom w:val="single" w:sz="4" w:space="1" w:color="auto"/>
      </w:pBdr>
      <w:spacing w:line="240" w:lineRule="auto"/>
    </w:pPr>
    <w:rPr>
      <w:rFonts w:asciiTheme="majorHAnsi" w:eastAsiaTheme="majorEastAsia" w:hAnsiTheme="majorHAnsi" w:cstheme="majorBidi"/>
      <w:b/>
      <w:bCs w:val="0"/>
      <w:color w:val="000000" w:themeColor="text1"/>
      <w:sz w:val="32"/>
      <w:szCs w:val="32"/>
    </w:rPr>
  </w:style>
  <w:style w:type="paragraph" w:styleId="TOC2">
    <w:name w:val="toc 2"/>
    <w:basedOn w:val="Normal"/>
    <w:next w:val="Normal"/>
    <w:autoRedefine/>
    <w:uiPriority w:val="39"/>
    <w:rsid w:val="00277BEC"/>
    <w:pPr>
      <w:tabs>
        <w:tab w:val="left" w:pos="735"/>
        <w:tab w:val="right" w:leader="dot" w:pos="8398"/>
      </w:tabs>
      <w:ind w:left="284"/>
    </w:pPr>
    <w:rPr>
      <w:rFonts w:ascii="Arial" w:hAnsi="Arial"/>
    </w:rPr>
  </w:style>
  <w:style w:type="paragraph" w:styleId="TOC1">
    <w:name w:val="toc 1"/>
    <w:basedOn w:val="Normal"/>
    <w:next w:val="Normal"/>
    <w:autoRedefine/>
    <w:uiPriority w:val="39"/>
    <w:rsid w:val="00277BEC"/>
    <w:pPr>
      <w:spacing w:after="100"/>
    </w:pPr>
    <w:rPr>
      <w:rFonts w:ascii="Arial" w:hAnsi="Arial"/>
    </w:rPr>
  </w:style>
  <w:style w:type="paragraph" w:styleId="TOC3">
    <w:name w:val="toc 3"/>
    <w:basedOn w:val="Normal"/>
    <w:next w:val="Normal"/>
    <w:autoRedefine/>
    <w:uiPriority w:val="39"/>
    <w:rsid w:val="00474A11"/>
    <w:pPr>
      <w:ind w:left="440"/>
    </w:pPr>
  </w:style>
  <w:style w:type="paragraph" w:styleId="TOC4">
    <w:name w:val="toc 4"/>
    <w:basedOn w:val="Normal"/>
    <w:next w:val="Normal"/>
    <w:autoRedefine/>
    <w:rsid w:val="00474A11"/>
    <w:pPr>
      <w:ind w:left="660"/>
    </w:pPr>
  </w:style>
  <w:style w:type="paragraph" w:styleId="TOC5">
    <w:name w:val="toc 5"/>
    <w:basedOn w:val="Normal"/>
    <w:next w:val="Normal"/>
    <w:autoRedefine/>
    <w:rsid w:val="00474A11"/>
    <w:pPr>
      <w:ind w:left="880"/>
    </w:pPr>
  </w:style>
  <w:style w:type="paragraph" w:styleId="TOC6">
    <w:name w:val="toc 6"/>
    <w:basedOn w:val="Normal"/>
    <w:next w:val="Normal"/>
    <w:autoRedefine/>
    <w:rsid w:val="00474A11"/>
    <w:pPr>
      <w:ind w:left="1100"/>
    </w:pPr>
  </w:style>
  <w:style w:type="paragraph" w:styleId="TOC7">
    <w:name w:val="toc 7"/>
    <w:basedOn w:val="Normal"/>
    <w:next w:val="Normal"/>
    <w:autoRedefine/>
    <w:rsid w:val="00474A11"/>
    <w:pPr>
      <w:ind w:left="1320"/>
    </w:pPr>
  </w:style>
  <w:style w:type="paragraph" w:styleId="TOC8">
    <w:name w:val="toc 8"/>
    <w:basedOn w:val="Normal"/>
    <w:next w:val="Normal"/>
    <w:autoRedefine/>
    <w:rsid w:val="00474A11"/>
    <w:pPr>
      <w:ind w:left="1540"/>
    </w:pPr>
  </w:style>
  <w:style w:type="paragraph" w:styleId="TOC9">
    <w:name w:val="toc 9"/>
    <w:basedOn w:val="Normal"/>
    <w:next w:val="Normal"/>
    <w:autoRedefine/>
    <w:rsid w:val="00474A11"/>
    <w:pPr>
      <w:ind w:left="1760"/>
    </w:pPr>
  </w:style>
  <w:style w:type="paragraph" w:customStyle="1" w:styleId="Referencetext">
    <w:name w:val="Reference text"/>
    <w:basedOn w:val="BodyText"/>
    <w:qFormat/>
    <w:rsid w:val="00626F60"/>
    <w:pPr>
      <w:spacing w:after="240" w:line="260" w:lineRule="atLeast"/>
    </w:pPr>
    <w:rPr>
      <w:rFonts w:eastAsia="Times New Roman"/>
      <w:bCs w:val="0"/>
      <w:lang w:val="en-NZ"/>
    </w:rPr>
  </w:style>
  <w:style w:type="paragraph" w:customStyle="1" w:styleId="Heading1notnumbered">
    <w:name w:val="Heading 1 not numbered"/>
    <w:basedOn w:val="Heading1"/>
    <w:qFormat/>
    <w:rsid w:val="00626F60"/>
    <w:pPr>
      <w:numPr>
        <w:numId w:val="0"/>
      </w:numPr>
      <w:ind w:left="432" w:hanging="432"/>
    </w:pPr>
    <w:rPr>
      <w:noProof/>
    </w:rPr>
  </w:style>
  <w:style w:type="paragraph" w:styleId="TableofFigures">
    <w:name w:val="table of figures"/>
    <w:basedOn w:val="Normal"/>
    <w:next w:val="Normal"/>
    <w:uiPriority w:val="99"/>
    <w:rsid w:val="00277BEC"/>
    <w:pPr>
      <w:ind w:left="440" w:hanging="440"/>
    </w:pPr>
    <w:rPr>
      <w:rFonts w:ascii="Arial" w:hAnsi="Arial"/>
    </w:rPr>
  </w:style>
  <w:style w:type="paragraph" w:styleId="Revision">
    <w:name w:val="Revision"/>
    <w:hidden/>
    <w:rsid w:val="009A4151"/>
    <w:rPr>
      <w:rFonts w:ascii="Times New Roman" w:hAnsi="Times New Roman"/>
      <w:bCs/>
      <w:sz w:val="22"/>
      <w:lang w:val="en-GB"/>
    </w:rPr>
  </w:style>
  <w:style w:type="paragraph" w:styleId="Title">
    <w:name w:val="Title"/>
    <w:basedOn w:val="Normal"/>
    <w:link w:val="TitleChar"/>
    <w:qFormat/>
    <w:rsid w:val="00953A79"/>
    <w:pPr>
      <w:spacing w:line="620" w:lineRule="exact"/>
      <w:ind w:left="2552"/>
      <w:jc w:val="right"/>
      <w:outlineLvl w:val="0"/>
    </w:pPr>
    <w:rPr>
      <w:rFonts w:ascii="Arial" w:eastAsia="Times New Roman" w:hAnsi="Arial" w:cs="Times New Roman"/>
      <w:bCs w:val="0"/>
      <w:color w:val="FFFFFF"/>
      <w:sz w:val="48"/>
      <w:lang w:val="en-NZ"/>
    </w:rPr>
  </w:style>
  <w:style w:type="character" w:customStyle="1" w:styleId="TitleChar">
    <w:name w:val="Title Char"/>
    <w:basedOn w:val="DefaultParagraphFont"/>
    <w:link w:val="Title"/>
    <w:rsid w:val="00953A79"/>
    <w:rPr>
      <w:rFonts w:ascii="Arial" w:eastAsia="Times New Roman" w:hAnsi="Arial" w:cs="Times New Roman"/>
      <w:color w:val="FFFFFF"/>
      <w:sz w:val="48"/>
      <w:lang w:val="en-NZ"/>
    </w:rPr>
  </w:style>
  <w:style w:type="paragraph" w:customStyle="1" w:styleId="Tabletext">
    <w:name w:val="Table text"/>
    <w:basedOn w:val="Normal"/>
    <w:qFormat/>
    <w:rsid w:val="00844A98"/>
    <w:pPr>
      <w:spacing w:after="0"/>
    </w:pPr>
    <w:rPr>
      <w:rFonts w:ascii="Arial" w:eastAsia="Times" w:hAnsi="Arial" w:cs="Arial"/>
      <w:sz w:val="18"/>
      <w:szCs w:val="18"/>
      <w:lang w:val="en-US"/>
    </w:rPr>
  </w:style>
  <w:style w:type="paragraph" w:customStyle="1" w:styleId="Default">
    <w:name w:val="Default"/>
    <w:rsid w:val="00D257C0"/>
    <w:pPr>
      <w:autoSpaceDE w:val="0"/>
      <w:autoSpaceDN w:val="0"/>
      <w:adjustRightInd w:val="0"/>
    </w:pPr>
    <w:rPr>
      <w:rFonts w:ascii="Cambria" w:hAnsi="Cambria" w:cs="Cambria"/>
      <w:color w:val="000000"/>
      <w:lang w:val="en-NZ"/>
    </w:rPr>
  </w:style>
  <w:style w:type="paragraph" w:styleId="DocumentMap">
    <w:name w:val="Document Map"/>
    <w:basedOn w:val="Normal"/>
    <w:link w:val="DocumentMapChar"/>
    <w:rsid w:val="000539A9"/>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rsid w:val="000539A9"/>
    <w:rPr>
      <w:rFonts w:ascii="Lucida Grande" w:hAnsi="Lucida Grande" w:cs="Lucida Grande"/>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1063">
      <w:bodyDiv w:val="1"/>
      <w:marLeft w:val="0"/>
      <w:marRight w:val="0"/>
      <w:marTop w:val="0"/>
      <w:marBottom w:val="0"/>
      <w:divBdr>
        <w:top w:val="none" w:sz="0" w:space="0" w:color="auto"/>
        <w:left w:val="none" w:sz="0" w:space="0" w:color="auto"/>
        <w:bottom w:val="none" w:sz="0" w:space="0" w:color="auto"/>
        <w:right w:val="none" w:sz="0" w:space="0" w:color="auto"/>
      </w:divBdr>
    </w:div>
    <w:div w:id="145360120">
      <w:bodyDiv w:val="1"/>
      <w:marLeft w:val="0"/>
      <w:marRight w:val="0"/>
      <w:marTop w:val="0"/>
      <w:marBottom w:val="0"/>
      <w:divBdr>
        <w:top w:val="none" w:sz="0" w:space="0" w:color="auto"/>
        <w:left w:val="none" w:sz="0" w:space="0" w:color="auto"/>
        <w:bottom w:val="none" w:sz="0" w:space="0" w:color="auto"/>
        <w:right w:val="none" w:sz="0" w:space="0" w:color="auto"/>
      </w:divBdr>
      <w:divsChild>
        <w:div w:id="1533609729">
          <w:marLeft w:val="547"/>
          <w:marRight w:val="0"/>
          <w:marTop w:val="0"/>
          <w:marBottom w:val="0"/>
          <w:divBdr>
            <w:top w:val="none" w:sz="0" w:space="0" w:color="auto"/>
            <w:left w:val="none" w:sz="0" w:space="0" w:color="auto"/>
            <w:bottom w:val="none" w:sz="0" w:space="0" w:color="auto"/>
            <w:right w:val="none" w:sz="0" w:space="0" w:color="auto"/>
          </w:divBdr>
        </w:div>
        <w:div w:id="1287278280">
          <w:marLeft w:val="1166"/>
          <w:marRight w:val="0"/>
          <w:marTop w:val="0"/>
          <w:marBottom w:val="0"/>
          <w:divBdr>
            <w:top w:val="none" w:sz="0" w:space="0" w:color="auto"/>
            <w:left w:val="none" w:sz="0" w:space="0" w:color="auto"/>
            <w:bottom w:val="none" w:sz="0" w:space="0" w:color="auto"/>
            <w:right w:val="none" w:sz="0" w:space="0" w:color="auto"/>
          </w:divBdr>
        </w:div>
        <w:div w:id="1858108725">
          <w:marLeft w:val="1166"/>
          <w:marRight w:val="0"/>
          <w:marTop w:val="0"/>
          <w:marBottom w:val="0"/>
          <w:divBdr>
            <w:top w:val="none" w:sz="0" w:space="0" w:color="auto"/>
            <w:left w:val="none" w:sz="0" w:space="0" w:color="auto"/>
            <w:bottom w:val="none" w:sz="0" w:space="0" w:color="auto"/>
            <w:right w:val="none" w:sz="0" w:space="0" w:color="auto"/>
          </w:divBdr>
        </w:div>
        <w:div w:id="142282511">
          <w:marLeft w:val="1166"/>
          <w:marRight w:val="0"/>
          <w:marTop w:val="0"/>
          <w:marBottom w:val="0"/>
          <w:divBdr>
            <w:top w:val="none" w:sz="0" w:space="0" w:color="auto"/>
            <w:left w:val="none" w:sz="0" w:space="0" w:color="auto"/>
            <w:bottom w:val="none" w:sz="0" w:space="0" w:color="auto"/>
            <w:right w:val="none" w:sz="0" w:space="0" w:color="auto"/>
          </w:divBdr>
        </w:div>
        <w:div w:id="1224827874">
          <w:marLeft w:val="1166"/>
          <w:marRight w:val="0"/>
          <w:marTop w:val="0"/>
          <w:marBottom w:val="0"/>
          <w:divBdr>
            <w:top w:val="none" w:sz="0" w:space="0" w:color="auto"/>
            <w:left w:val="none" w:sz="0" w:space="0" w:color="auto"/>
            <w:bottom w:val="none" w:sz="0" w:space="0" w:color="auto"/>
            <w:right w:val="none" w:sz="0" w:space="0" w:color="auto"/>
          </w:divBdr>
        </w:div>
        <w:div w:id="76904372">
          <w:marLeft w:val="1166"/>
          <w:marRight w:val="0"/>
          <w:marTop w:val="0"/>
          <w:marBottom w:val="0"/>
          <w:divBdr>
            <w:top w:val="none" w:sz="0" w:space="0" w:color="auto"/>
            <w:left w:val="none" w:sz="0" w:space="0" w:color="auto"/>
            <w:bottom w:val="none" w:sz="0" w:space="0" w:color="auto"/>
            <w:right w:val="none" w:sz="0" w:space="0" w:color="auto"/>
          </w:divBdr>
        </w:div>
        <w:div w:id="1402874556">
          <w:marLeft w:val="1166"/>
          <w:marRight w:val="0"/>
          <w:marTop w:val="0"/>
          <w:marBottom w:val="0"/>
          <w:divBdr>
            <w:top w:val="none" w:sz="0" w:space="0" w:color="auto"/>
            <w:left w:val="none" w:sz="0" w:space="0" w:color="auto"/>
            <w:bottom w:val="none" w:sz="0" w:space="0" w:color="auto"/>
            <w:right w:val="none" w:sz="0" w:space="0" w:color="auto"/>
          </w:divBdr>
        </w:div>
      </w:divsChild>
    </w:div>
    <w:div w:id="145973094">
      <w:bodyDiv w:val="1"/>
      <w:marLeft w:val="0"/>
      <w:marRight w:val="0"/>
      <w:marTop w:val="0"/>
      <w:marBottom w:val="0"/>
      <w:divBdr>
        <w:top w:val="none" w:sz="0" w:space="0" w:color="auto"/>
        <w:left w:val="none" w:sz="0" w:space="0" w:color="auto"/>
        <w:bottom w:val="none" w:sz="0" w:space="0" w:color="auto"/>
        <w:right w:val="none" w:sz="0" w:space="0" w:color="auto"/>
      </w:divBdr>
    </w:div>
    <w:div w:id="193815746">
      <w:bodyDiv w:val="1"/>
      <w:marLeft w:val="0"/>
      <w:marRight w:val="0"/>
      <w:marTop w:val="0"/>
      <w:marBottom w:val="0"/>
      <w:divBdr>
        <w:top w:val="none" w:sz="0" w:space="0" w:color="auto"/>
        <w:left w:val="none" w:sz="0" w:space="0" w:color="auto"/>
        <w:bottom w:val="none" w:sz="0" w:space="0" w:color="auto"/>
        <w:right w:val="none" w:sz="0" w:space="0" w:color="auto"/>
      </w:divBdr>
    </w:div>
    <w:div w:id="196361026">
      <w:bodyDiv w:val="1"/>
      <w:marLeft w:val="0"/>
      <w:marRight w:val="0"/>
      <w:marTop w:val="0"/>
      <w:marBottom w:val="0"/>
      <w:divBdr>
        <w:top w:val="none" w:sz="0" w:space="0" w:color="auto"/>
        <w:left w:val="none" w:sz="0" w:space="0" w:color="auto"/>
        <w:bottom w:val="none" w:sz="0" w:space="0" w:color="auto"/>
        <w:right w:val="none" w:sz="0" w:space="0" w:color="auto"/>
      </w:divBdr>
    </w:div>
    <w:div w:id="239827730">
      <w:bodyDiv w:val="1"/>
      <w:marLeft w:val="0"/>
      <w:marRight w:val="0"/>
      <w:marTop w:val="0"/>
      <w:marBottom w:val="0"/>
      <w:divBdr>
        <w:top w:val="none" w:sz="0" w:space="0" w:color="auto"/>
        <w:left w:val="none" w:sz="0" w:space="0" w:color="auto"/>
        <w:bottom w:val="none" w:sz="0" w:space="0" w:color="auto"/>
        <w:right w:val="none" w:sz="0" w:space="0" w:color="auto"/>
      </w:divBdr>
    </w:div>
    <w:div w:id="366834009">
      <w:bodyDiv w:val="1"/>
      <w:marLeft w:val="0"/>
      <w:marRight w:val="0"/>
      <w:marTop w:val="0"/>
      <w:marBottom w:val="0"/>
      <w:divBdr>
        <w:top w:val="none" w:sz="0" w:space="0" w:color="auto"/>
        <w:left w:val="none" w:sz="0" w:space="0" w:color="auto"/>
        <w:bottom w:val="none" w:sz="0" w:space="0" w:color="auto"/>
        <w:right w:val="none" w:sz="0" w:space="0" w:color="auto"/>
      </w:divBdr>
    </w:div>
    <w:div w:id="379861659">
      <w:bodyDiv w:val="1"/>
      <w:marLeft w:val="0"/>
      <w:marRight w:val="0"/>
      <w:marTop w:val="0"/>
      <w:marBottom w:val="0"/>
      <w:divBdr>
        <w:top w:val="none" w:sz="0" w:space="0" w:color="auto"/>
        <w:left w:val="none" w:sz="0" w:space="0" w:color="auto"/>
        <w:bottom w:val="none" w:sz="0" w:space="0" w:color="auto"/>
        <w:right w:val="none" w:sz="0" w:space="0" w:color="auto"/>
      </w:divBdr>
    </w:div>
    <w:div w:id="438720475">
      <w:bodyDiv w:val="1"/>
      <w:marLeft w:val="0"/>
      <w:marRight w:val="0"/>
      <w:marTop w:val="0"/>
      <w:marBottom w:val="0"/>
      <w:divBdr>
        <w:top w:val="none" w:sz="0" w:space="0" w:color="auto"/>
        <w:left w:val="none" w:sz="0" w:space="0" w:color="auto"/>
        <w:bottom w:val="none" w:sz="0" w:space="0" w:color="auto"/>
        <w:right w:val="none" w:sz="0" w:space="0" w:color="auto"/>
      </w:divBdr>
    </w:div>
    <w:div w:id="464616410">
      <w:bodyDiv w:val="1"/>
      <w:marLeft w:val="0"/>
      <w:marRight w:val="0"/>
      <w:marTop w:val="0"/>
      <w:marBottom w:val="0"/>
      <w:divBdr>
        <w:top w:val="none" w:sz="0" w:space="0" w:color="auto"/>
        <w:left w:val="none" w:sz="0" w:space="0" w:color="auto"/>
        <w:bottom w:val="none" w:sz="0" w:space="0" w:color="auto"/>
        <w:right w:val="none" w:sz="0" w:space="0" w:color="auto"/>
      </w:divBdr>
    </w:div>
    <w:div w:id="541291863">
      <w:bodyDiv w:val="1"/>
      <w:marLeft w:val="0"/>
      <w:marRight w:val="0"/>
      <w:marTop w:val="0"/>
      <w:marBottom w:val="0"/>
      <w:divBdr>
        <w:top w:val="none" w:sz="0" w:space="0" w:color="auto"/>
        <w:left w:val="none" w:sz="0" w:space="0" w:color="auto"/>
        <w:bottom w:val="none" w:sz="0" w:space="0" w:color="auto"/>
        <w:right w:val="none" w:sz="0" w:space="0" w:color="auto"/>
      </w:divBdr>
    </w:div>
    <w:div w:id="567226468">
      <w:bodyDiv w:val="1"/>
      <w:marLeft w:val="0"/>
      <w:marRight w:val="0"/>
      <w:marTop w:val="0"/>
      <w:marBottom w:val="0"/>
      <w:divBdr>
        <w:top w:val="none" w:sz="0" w:space="0" w:color="auto"/>
        <w:left w:val="none" w:sz="0" w:space="0" w:color="auto"/>
        <w:bottom w:val="none" w:sz="0" w:space="0" w:color="auto"/>
        <w:right w:val="none" w:sz="0" w:space="0" w:color="auto"/>
      </w:divBdr>
    </w:div>
    <w:div w:id="614411346">
      <w:bodyDiv w:val="1"/>
      <w:marLeft w:val="0"/>
      <w:marRight w:val="0"/>
      <w:marTop w:val="0"/>
      <w:marBottom w:val="0"/>
      <w:divBdr>
        <w:top w:val="none" w:sz="0" w:space="0" w:color="auto"/>
        <w:left w:val="none" w:sz="0" w:space="0" w:color="auto"/>
        <w:bottom w:val="none" w:sz="0" w:space="0" w:color="auto"/>
        <w:right w:val="none" w:sz="0" w:space="0" w:color="auto"/>
      </w:divBdr>
    </w:div>
    <w:div w:id="653875006">
      <w:bodyDiv w:val="1"/>
      <w:marLeft w:val="0"/>
      <w:marRight w:val="0"/>
      <w:marTop w:val="0"/>
      <w:marBottom w:val="0"/>
      <w:divBdr>
        <w:top w:val="none" w:sz="0" w:space="0" w:color="auto"/>
        <w:left w:val="none" w:sz="0" w:space="0" w:color="auto"/>
        <w:bottom w:val="none" w:sz="0" w:space="0" w:color="auto"/>
        <w:right w:val="none" w:sz="0" w:space="0" w:color="auto"/>
      </w:divBdr>
    </w:div>
    <w:div w:id="732385547">
      <w:bodyDiv w:val="1"/>
      <w:marLeft w:val="0"/>
      <w:marRight w:val="0"/>
      <w:marTop w:val="0"/>
      <w:marBottom w:val="0"/>
      <w:divBdr>
        <w:top w:val="none" w:sz="0" w:space="0" w:color="auto"/>
        <w:left w:val="none" w:sz="0" w:space="0" w:color="auto"/>
        <w:bottom w:val="none" w:sz="0" w:space="0" w:color="auto"/>
        <w:right w:val="none" w:sz="0" w:space="0" w:color="auto"/>
      </w:divBdr>
    </w:div>
    <w:div w:id="806626347">
      <w:bodyDiv w:val="1"/>
      <w:marLeft w:val="0"/>
      <w:marRight w:val="0"/>
      <w:marTop w:val="0"/>
      <w:marBottom w:val="0"/>
      <w:divBdr>
        <w:top w:val="none" w:sz="0" w:space="0" w:color="auto"/>
        <w:left w:val="none" w:sz="0" w:space="0" w:color="auto"/>
        <w:bottom w:val="none" w:sz="0" w:space="0" w:color="auto"/>
        <w:right w:val="none" w:sz="0" w:space="0" w:color="auto"/>
      </w:divBdr>
      <w:divsChild>
        <w:div w:id="1210385653">
          <w:marLeft w:val="547"/>
          <w:marRight w:val="0"/>
          <w:marTop w:val="0"/>
          <w:marBottom w:val="0"/>
          <w:divBdr>
            <w:top w:val="none" w:sz="0" w:space="0" w:color="auto"/>
            <w:left w:val="none" w:sz="0" w:space="0" w:color="auto"/>
            <w:bottom w:val="none" w:sz="0" w:space="0" w:color="auto"/>
            <w:right w:val="none" w:sz="0" w:space="0" w:color="auto"/>
          </w:divBdr>
        </w:div>
      </w:divsChild>
    </w:div>
    <w:div w:id="823812469">
      <w:bodyDiv w:val="1"/>
      <w:marLeft w:val="0"/>
      <w:marRight w:val="0"/>
      <w:marTop w:val="0"/>
      <w:marBottom w:val="0"/>
      <w:divBdr>
        <w:top w:val="none" w:sz="0" w:space="0" w:color="auto"/>
        <w:left w:val="none" w:sz="0" w:space="0" w:color="auto"/>
        <w:bottom w:val="none" w:sz="0" w:space="0" w:color="auto"/>
        <w:right w:val="none" w:sz="0" w:space="0" w:color="auto"/>
      </w:divBdr>
      <w:divsChild>
        <w:div w:id="224222680">
          <w:marLeft w:val="547"/>
          <w:marRight w:val="0"/>
          <w:marTop w:val="0"/>
          <w:marBottom w:val="0"/>
          <w:divBdr>
            <w:top w:val="none" w:sz="0" w:space="0" w:color="auto"/>
            <w:left w:val="none" w:sz="0" w:space="0" w:color="auto"/>
            <w:bottom w:val="none" w:sz="0" w:space="0" w:color="auto"/>
            <w:right w:val="none" w:sz="0" w:space="0" w:color="auto"/>
          </w:divBdr>
        </w:div>
        <w:div w:id="1040131686">
          <w:marLeft w:val="547"/>
          <w:marRight w:val="0"/>
          <w:marTop w:val="0"/>
          <w:marBottom w:val="0"/>
          <w:divBdr>
            <w:top w:val="none" w:sz="0" w:space="0" w:color="auto"/>
            <w:left w:val="none" w:sz="0" w:space="0" w:color="auto"/>
            <w:bottom w:val="none" w:sz="0" w:space="0" w:color="auto"/>
            <w:right w:val="none" w:sz="0" w:space="0" w:color="auto"/>
          </w:divBdr>
        </w:div>
      </w:divsChild>
    </w:div>
    <w:div w:id="979194123">
      <w:bodyDiv w:val="1"/>
      <w:marLeft w:val="0"/>
      <w:marRight w:val="0"/>
      <w:marTop w:val="0"/>
      <w:marBottom w:val="0"/>
      <w:divBdr>
        <w:top w:val="none" w:sz="0" w:space="0" w:color="auto"/>
        <w:left w:val="none" w:sz="0" w:space="0" w:color="auto"/>
        <w:bottom w:val="none" w:sz="0" w:space="0" w:color="auto"/>
        <w:right w:val="none" w:sz="0" w:space="0" w:color="auto"/>
      </w:divBdr>
      <w:divsChild>
        <w:div w:id="1848665733">
          <w:marLeft w:val="547"/>
          <w:marRight w:val="0"/>
          <w:marTop w:val="0"/>
          <w:marBottom w:val="0"/>
          <w:divBdr>
            <w:top w:val="none" w:sz="0" w:space="0" w:color="auto"/>
            <w:left w:val="none" w:sz="0" w:space="0" w:color="auto"/>
            <w:bottom w:val="none" w:sz="0" w:space="0" w:color="auto"/>
            <w:right w:val="none" w:sz="0" w:space="0" w:color="auto"/>
          </w:divBdr>
        </w:div>
        <w:div w:id="458114248">
          <w:marLeft w:val="547"/>
          <w:marRight w:val="0"/>
          <w:marTop w:val="0"/>
          <w:marBottom w:val="0"/>
          <w:divBdr>
            <w:top w:val="none" w:sz="0" w:space="0" w:color="auto"/>
            <w:left w:val="none" w:sz="0" w:space="0" w:color="auto"/>
            <w:bottom w:val="none" w:sz="0" w:space="0" w:color="auto"/>
            <w:right w:val="none" w:sz="0" w:space="0" w:color="auto"/>
          </w:divBdr>
        </w:div>
      </w:divsChild>
    </w:div>
    <w:div w:id="1042092631">
      <w:bodyDiv w:val="1"/>
      <w:marLeft w:val="0"/>
      <w:marRight w:val="0"/>
      <w:marTop w:val="0"/>
      <w:marBottom w:val="0"/>
      <w:divBdr>
        <w:top w:val="none" w:sz="0" w:space="0" w:color="auto"/>
        <w:left w:val="none" w:sz="0" w:space="0" w:color="auto"/>
        <w:bottom w:val="none" w:sz="0" w:space="0" w:color="auto"/>
        <w:right w:val="none" w:sz="0" w:space="0" w:color="auto"/>
      </w:divBdr>
      <w:divsChild>
        <w:div w:id="1659650661">
          <w:marLeft w:val="547"/>
          <w:marRight w:val="0"/>
          <w:marTop w:val="0"/>
          <w:marBottom w:val="0"/>
          <w:divBdr>
            <w:top w:val="none" w:sz="0" w:space="0" w:color="auto"/>
            <w:left w:val="none" w:sz="0" w:space="0" w:color="auto"/>
            <w:bottom w:val="none" w:sz="0" w:space="0" w:color="auto"/>
            <w:right w:val="none" w:sz="0" w:space="0" w:color="auto"/>
          </w:divBdr>
        </w:div>
      </w:divsChild>
    </w:div>
    <w:div w:id="1108888110">
      <w:bodyDiv w:val="1"/>
      <w:marLeft w:val="0"/>
      <w:marRight w:val="0"/>
      <w:marTop w:val="0"/>
      <w:marBottom w:val="0"/>
      <w:divBdr>
        <w:top w:val="none" w:sz="0" w:space="0" w:color="auto"/>
        <w:left w:val="none" w:sz="0" w:space="0" w:color="auto"/>
        <w:bottom w:val="none" w:sz="0" w:space="0" w:color="auto"/>
        <w:right w:val="none" w:sz="0" w:space="0" w:color="auto"/>
      </w:divBdr>
    </w:div>
    <w:div w:id="1152062300">
      <w:bodyDiv w:val="1"/>
      <w:marLeft w:val="0"/>
      <w:marRight w:val="0"/>
      <w:marTop w:val="0"/>
      <w:marBottom w:val="0"/>
      <w:divBdr>
        <w:top w:val="none" w:sz="0" w:space="0" w:color="auto"/>
        <w:left w:val="none" w:sz="0" w:space="0" w:color="auto"/>
        <w:bottom w:val="none" w:sz="0" w:space="0" w:color="auto"/>
        <w:right w:val="none" w:sz="0" w:space="0" w:color="auto"/>
      </w:divBdr>
    </w:div>
    <w:div w:id="1198467108">
      <w:bodyDiv w:val="1"/>
      <w:marLeft w:val="0"/>
      <w:marRight w:val="0"/>
      <w:marTop w:val="0"/>
      <w:marBottom w:val="0"/>
      <w:divBdr>
        <w:top w:val="none" w:sz="0" w:space="0" w:color="auto"/>
        <w:left w:val="none" w:sz="0" w:space="0" w:color="auto"/>
        <w:bottom w:val="none" w:sz="0" w:space="0" w:color="auto"/>
        <w:right w:val="none" w:sz="0" w:space="0" w:color="auto"/>
      </w:divBdr>
      <w:divsChild>
        <w:div w:id="494221011">
          <w:marLeft w:val="0"/>
          <w:marRight w:val="0"/>
          <w:marTop w:val="0"/>
          <w:marBottom w:val="0"/>
          <w:divBdr>
            <w:top w:val="none" w:sz="0" w:space="0" w:color="auto"/>
            <w:left w:val="none" w:sz="0" w:space="0" w:color="auto"/>
            <w:bottom w:val="none" w:sz="0" w:space="0" w:color="auto"/>
            <w:right w:val="none" w:sz="0" w:space="0" w:color="auto"/>
          </w:divBdr>
          <w:divsChild>
            <w:div w:id="1391155907">
              <w:marLeft w:val="0"/>
              <w:marRight w:val="0"/>
              <w:marTop w:val="0"/>
              <w:marBottom w:val="0"/>
              <w:divBdr>
                <w:top w:val="none" w:sz="0" w:space="0" w:color="auto"/>
                <w:left w:val="none" w:sz="0" w:space="0" w:color="auto"/>
                <w:bottom w:val="none" w:sz="0" w:space="0" w:color="auto"/>
                <w:right w:val="none" w:sz="0" w:space="0" w:color="auto"/>
              </w:divBdr>
              <w:divsChild>
                <w:div w:id="569846015">
                  <w:marLeft w:val="0"/>
                  <w:marRight w:val="0"/>
                  <w:marTop w:val="0"/>
                  <w:marBottom w:val="0"/>
                  <w:divBdr>
                    <w:top w:val="none" w:sz="0" w:space="0" w:color="auto"/>
                    <w:left w:val="none" w:sz="0" w:space="0" w:color="auto"/>
                    <w:bottom w:val="none" w:sz="0" w:space="0" w:color="auto"/>
                    <w:right w:val="none" w:sz="0" w:space="0" w:color="auto"/>
                  </w:divBdr>
                </w:div>
              </w:divsChild>
            </w:div>
            <w:div w:id="655233259">
              <w:marLeft w:val="0"/>
              <w:marRight w:val="0"/>
              <w:marTop w:val="0"/>
              <w:marBottom w:val="0"/>
              <w:divBdr>
                <w:top w:val="none" w:sz="0" w:space="0" w:color="auto"/>
                <w:left w:val="none" w:sz="0" w:space="0" w:color="auto"/>
                <w:bottom w:val="none" w:sz="0" w:space="0" w:color="auto"/>
                <w:right w:val="none" w:sz="0" w:space="0" w:color="auto"/>
              </w:divBdr>
              <w:divsChild>
                <w:div w:id="313142616">
                  <w:marLeft w:val="0"/>
                  <w:marRight w:val="0"/>
                  <w:marTop w:val="0"/>
                  <w:marBottom w:val="0"/>
                  <w:divBdr>
                    <w:top w:val="none" w:sz="0" w:space="0" w:color="auto"/>
                    <w:left w:val="none" w:sz="0" w:space="0" w:color="auto"/>
                    <w:bottom w:val="none" w:sz="0" w:space="0" w:color="auto"/>
                    <w:right w:val="none" w:sz="0" w:space="0" w:color="auto"/>
                  </w:divBdr>
                </w:div>
              </w:divsChild>
            </w:div>
            <w:div w:id="138151150">
              <w:marLeft w:val="0"/>
              <w:marRight w:val="0"/>
              <w:marTop w:val="0"/>
              <w:marBottom w:val="0"/>
              <w:divBdr>
                <w:top w:val="none" w:sz="0" w:space="0" w:color="auto"/>
                <w:left w:val="none" w:sz="0" w:space="0" w:color="auto"/>
                <w:bottom w:val="none" w:sz="0" w:space="0" w:color="auto"/>
                <w:right w:val="none" w:sz="0" w:space="0" w:color="auto"/>
              </w:divBdr>
              <w:divsChild>
                <w:div w:id="30352243">
                  <w:marLeft w:val="0"/>
                  <w:marRight w:val="0"/>
                  <w:marTop w:val="0"/>
                  <w:marBottom w:val="0"/>
                  <w:divBdr>
                    <w:top w:val="none" w:sz="0" w:space="0" w:color="auto"/>
                    <w:left w:val="none" w:sz="0" w:space="0" w:color="auto"/>
                    <w:bottom w:val="none" w:sz="0" w:space="0" w:color="auto"/>
                    <w:right w:val="none" w:sz="0" w:space="0" w:color="auto"/>
                  </w:divBdr>
                </w:div>
              </w:divsChild>
            </w:div>
            <w:div w:id="1283461676">
              <w:marLeft w:val="0"/>
              <w:marRight w:val="0"/>
              <w:marTop w:val="0"/>
              <w:marBottom w:val="0"/>
              <w:divBdr>
                <w:top w:val="none" w:sz="0" w:space="0" w:color="auto"/>
                <w:left w:val="none" w:sz="0" w:space="0" w:color="auto"/>
                <w:bottom w:val="none" w:sz="0" w:space="0" w:color="auto"/>
                <w:right w:val="none" w:sz="0" w:space="0" w:color="auto"/>
              </w:divBdr>
              <w:divsChild>
                <w:div w:id="655573392">
                  <w:marLeft w:val="0"/>
                  <w:marRight w:val="0"/>
                  <w:marTop w:val="0"/>
                  <w:marBottom w:val="0"/>
                  <w:divBdr>
                    <w:top w:val="none" w:sz="0" w:space="0" w:color="auto"/>
                    <w:left w:val="none" w:sz="0" w:space="0" w:color="auto"/>
                    <w:bottom w:val="none" w:sz="0" w:space="0" w:color="auto"/>
                    <w:right w:val="none" w:sz="0" w:space="0" w:color="auto"/>
                  </w:divBdr>
                </w:div>
              </w:divsChild>
            </w:div>
            <w:div w:id="1574730966">
              <w:marLeft w:val="0"/>
              <w:marRight w:val="0"/>
              <w:marTop w:val="0"/>
              <w:marBottom w:val="0"/>
              <w:divBdr>
                <w:top w:val="none" w:sz="0" w:space="0" w:color="auto"/>
                <w:left w:val="none" w:sz="0" w:space="0" w:color="auto"/>
                <w:bottom w:val="none" w:sz="0" w:space="0" w:color="auto"/>
                <w:right w:val="none" w:sz="0" w:space="0" w:color="auto"/>
              </w:divBdr>
              <w:divsChild>
                <w:div w:id="506287543">
                  <w:marLeft w:val="0"/>
                  <w:marRight w:val="0"/>
                  <w:marTop w:val="0"/>
                  <w:marBottom w:val="0"/>
                  <w:divBdr>
                    <w:top w:val="none" w:sz="0" w:space="0" w:color="auto"/>
                    <w:left w:val="none" w:sz="0" w:space="0" w:color="auto"/>
                    <w:bottom w:val="none" w:sz="0" w:space="0" w:color="auto"/>
                    <w:right w:val="none" w:sz="0" w:space="0" w:color="auto"/>
                  </w:divBdr>
                </w:div>
              </w:divsChild>
            </w:div>
            <w:div w:id="1837308806">
              <w:marLeft w:val="0"/>
              <w:marRight w:val="0"/>
              <w:marTop w:val="0"/>
              <w:marBottom w:val="0"/>
              <w:divBdr>
                <w:top w:val="none" w:sz="0" w:space="0" w:color="auto"/>
                <w:left w:val="none" w:sz="0" w:space="0" w:color="auto"/>
                <w:bottom w:val="none" w:sz="0" w:space="0" w:color="auto"/>
                <w:right w:val="none" w:sz="0" w:space="0" w:color="auto"/>
              </w:divBdr>
              <w:divsChild>
                <w:div w:id="987245570">
                  <w:marLeft w:val="0"/>
                  <w:marRight w:val="0"/>
                  <w:marTop w:val="0"/>
                  <w:marBottom w:val="0"/>
                  <w:divBdr>
                    <w:top w:val="none" w:sz="0" w:space="0" w:color="auto"/>
                    <w:left w:val="none" w:sz="0" w:space="0" w:color="auto"/>
                    <w:bottom w:val="none" w:sz="0" w:space="0" w:color="auto"/>
                    <w:right w:val="none" w:sz="0" w:space="0" w:color="auto"/>
                  </w:divBdr>
                </w:div>
              </w:divsChild>
            </w:div>
            <w:div w:id="1326594165">
              <w:marLeft w:val="0"/>
              <w:marRight w:val="0"/>
              <w:marTop w:val="0"/>
              <w:marBottom w:val="0"/>
              <w:divBdr>
                <w:top w:val="none" w:sz="0" w:space="0" w:color="auto"/>
                <w:left w:val="none" w:sz="0" w:space="0" w:color="auto"/>
                <w:bottom w:val="none" w:sz="0" w:space="0" w:color="auto"/>
                <w:right w:val="none" w:sz="0" w:space="0" w:color="auto"/>
              </w:divBdr>
              <w:divsChild>
                <w:div w:id="1909536974">
                  <w:marLeft w:val="0"/>
                  <w:marRight w:val="0"/>
                  <w:marTop w:val="0"/>
                  <w:marBottom w:val="0"/>
                  <w:divBdr>
                    <w:top w:val="none" w:sz="0" w:space="0" w:color="auto"/>
                    <w:left w:val="none" w:sz="0" w:space="0" w:color="auto"/>
                    <w:bottom w:val="none" w:sz="0" w:space="0" w:color="auto"/>
                    <w:right w:val="none" w:sz="0" w:space="0" w:color="auto"/>
                  </w:divBdr>
                </w:div>
              </w:divsChild>
            </w:div>
            <w:div w:id="667438347">
              <w:marLeft w:val="0"/>
              <w:marRight w:val="0"/>
              <w:marTop w:val="0"/>
              <w:marBottom w:val="0"/>
              <w:divBdr>
                <w:top w:val="none" w:sz="0" w:space="0" w:color="auto"/>
                <w:left w:val="none" w:sz="0" w:space="0" w:color="auto"/>
                <w:bottom w:val="none" w:sz="0" w:space="0" w:color="auto"/>
                <w:right w:val="none" w:sz="0" w:space="0" w:color="auto"/>
              </w:divBdr>
              <w:divsChild>
                <w:div w:id="2099863997">
                  <w:marLeft w:val="0"/>
                  <w:marRight w:val="0"/>
                  <w:marTop w:val="0"/>
                  <w:marBottom w:val="0"/>
                  <w:divBdr>
                    <w:top w:val="none" w:sz="0" w:space="0" w:color="auto"/>
                    <w:left w:val="none" w:sz="0" w:space="0" w:color="auto"/>
                    <w:bottom w:val="none" w:sz="0" w:space="0" w:color="auto"/>
                    <w:right w:val="none" w:sz="0" w:space="0" w:color="auto"/>
                  </w:divBdr>
                </w:div>
              </w:divsChild>
            </w:div>
            <w:div w:id="1774664717">
              <w:marLeft w:val="0"/>
              <w:marRight w:val="0"/>
              <w:marTop w:val="0"/>
              <w:marBottom w:val="0"/>
              <w:divBdr>
                <w:top w:val="none" w:sz="0" w:space="0" w:color="auto"/>
                <w:left w:val="none" w:sz="0" w:space="0" w:color="auto"/>
                <w:bottom w:val="none" w:sz="0" w:space="0" w:color="auto"/>
                <w:right w:val="none" w:sz="0" w:space="0" w:color="auto"/>
              </w:divBdr>
              <w:divsChild>
                <w:div w:id="1272664900">
                  <w:marLeft w:val="0"/>
                  <w:marRight w:val="0"/>
                  <w:marTop w:val="0"/>
                  <w:marBottom w:val="0"/>
                  <w:divBdr>
                    <w:top w:val="none" w:sz="0" w:space="0" w:color="auto"/>
                    <w:left w:val="none" w:sz="0" w:space="0" w:color="auto"/>
                    <w:bottom w:val="none" w:sz="0" w:space="0" w:color="auto"/>
                    <w:right w:val="none" w:sz="0" w:space="0" w:color="auto"/>
                  </w:divBdr>
                </w:div>
              </w:divsChild>
            </w:div>
            <w:div w:id="2105882962">
              <w:marLeft w:val="0"/>
              <w:marRight w:val="0"/>
              <w:marTop w:val="0"/>
              <w:marBottom w:val="0"/>
              <w:divBdr>
                <w:top w:val="none" w:sz="0" w:space="0" w:color="auto"/>
                <w:left w:val="none" w:sz="0" w:space="0" w:color="auto"/>
                <w:bottom w:val="none" w:sz="0" w:space="0" w:color="auto"/>
                <w:right w:val="none" w:sz="0" w:space="0" w:color="auto"/>
              </w:divBdr>
              <w:divsChild>
                <w:div w:id="1231769629">
                  <w:marLeft w:val="0"/>
                  <w:marRight w:val="0"/>
                  <w:marTop w:val="0"/>
                  <w:marBottom w:val="0"/>
                  <w:divBdr>
                    <w:top w:val="none" w:sz="0" w:space="0" w:color="auto"/>
                    <w:left w:val="none" w:sz="0" w:space="0" w:color="auto"/>
                    <w:bottom w:val="none" w:sz="0" w:space="0" w:color="auto"/>
                    <w:right w:val="none" w:sz="0" w:space="0" w:color="auto"/>
                  </w:divBdr>
                </w:div>
              </w:divsChild>
            </w:div>
            <w:div w:id="986395124">
              <w:marLeft w:val="0"/>
              <w:marRight w:val="0"/>
              <w:marTop w:val="0"/>
              <w:marBottom w:val="0"/>
              <w:divBdr>
                <w:top w:val="none" w:sz="0" w:space="0" w:color="auto"/>
                <w:left w:val="none" w:sz="0" w:space="0" w:color="auto"/>
                <w:bottom w:val="none" w:sz="0" w:space="0" w:color="auto"/>
                <w:right w:val="none" w:sz="0" w:space="0" w:color="auto"/>
              </w:divBdr>
              <w:divsChild>
                <w:div w:id="363598767">
                  <w:marLeft w:val="0"/>
                  <w:marRight w:val="0"/>
                  <w:marTop w:val="0"/>
                  <w:marBottom w:val="0"/>
                  <w:divBdr>
                    <w:top w:val="none" w:sz="0" w:space="0" w:color="auto"/>
                    <w:left w:val="none" w:sz="0" w:space="0" w:color="auto"/>
                    <w:bottom w:val="none" w:sz="0" w:space="0" w:color="auto"/>
                    <w:right w:val="none" w:sz="0" w:space="0" w:color="auto"/>
                  </w:divBdr>
                </w:div>
              </w:divsChild>
            </w:div>
            <w:div w:id="1176111539">
              <w:marLeft w:val="0"/>
              <w:marRight w:val="0"/>
              <w:marTop w:val="0"/>
              <w:marBottom w:val="0"/>
              <w:divBdr>
                <w:top w:val="none" w:sz="0" w:space="0" w:color="auto"/>
                <w:left w:val="none" w:sz="0" w:space="0" w:color="auto"/>
                <w:bottom w:val="none" w:sz="0" w:space="0" w:color="auto"/>
                <w:right w:val="none" w:sz="0" w:space="0" w:color="auto"/>
              </w:divBdr>
              <w:divsChild>
                <w:div w:id="114253629">
                  <w:marLeft w:val="0"/>
                  <w:marRight w:val="0"/>
                  <w:marTop w:val="0"/>
                  <w:marBottom w:val="0"/>
                  <w:divBdr>
                    <w:top w:val="none" w:sz="0" w:space="0" w:color="auto"/>
                    <w:left w:val="none" w:sz="0" w:space="0" w:color="auto"/>
                    <w:bottom w:val="none" w:sz="0" w:space="0" w:color="auto"/>
                    <w:right w:val="none" w:sz="0" w:space="0" w:color="auto"/>
                  </w:divBdr>
                </w:div>
              </w:divsChild>
            </w:div>
            <w:div w:id="1982341669">
              <w:marLeft w:val="0"/>
              <w:marRight w:val="0"/>
              <w:marTop w:val="0"/>
              <w:marBottom w:val="0"/>
              <w:divBdr>
                <w:top w:val="none" w:sz="0" w:space="0" w:color="auto"/>
                <w:left w:val="none" w:sz="0" w:space="0" w:color="auto"/>
                <w:bottom w:val="none" w:sz="0" w:space="0" w:color="auto"/>
                <w:right w:val="none" w:sz="0" w:space="0" w:color="auto"/>
              </w:divBdr>
              <w:divsChild>
                <w:div w:id="887572014">
                  <w:marLeft w:val="0"/>
                  <w:marRight w:val="0"/>
                  <w:marTop w:val="0"/>
                  <w:marBottom w:val="0"/>
                  <w:divBdr>
                    <w:top w:val="none" w:sz="0" w:space="0" w:color="auto"/>
                    <w:left w:val="none" w:sz="0" w:space="0" w:color="auto"/>
                    <w:bottom w:val="none" w:sz="0" w:space="0" w:color="auto"/>
                    <w:right w:val="none" w:sz="0" w:space="0" w:color="auto"/>
                  </w:divBdr>
                </w:div>
              </w:divsChild>
            </w:div>
            <w:div w:id="201401513">
              <w:marLeft w:val="0"/>
              <w:marRight w:val="0"/>
              <w:marTop w:val="0"/>
              <w:marBottom w:val="0"/>
              <w:divBdr>
                <w:top w:val="none" w:sz="0" w:space="0" w:color="auto"/>
                <w:left w:val="none" w:sz="0" w:space="0" w:color="auto"/>
                <w:bottom w:val="none" w:sz="0" w:space="0" w:color="auto"/>
                <w:right w:val="none" w:sz="0" w:space="0" w:color="auto"/>
              </w:divBdr>
              <w:divsChild>
                <w:div w:id="2016687168">
                  <w:marLeft w:val="0"/>
                  <w:marRight w:val="0"/>
                  <w:marTop w:val="0"/>
                  <w:marBottom w:val="0"/>
                  <w:divBdr>
                    <w:top w:val="none" w:sz="0" w:space="0" w:color="auto"/>
                    <w:left w:val="none" w:sz="0" w:space="0" w:color="auto"/>
                    <w:bottom w:val="none" w:sz="0" w:space="0" w:color="auto"/>
                    <w:right w:val="none" w:sz="0" w:space="0" w:color="auto"/>
                  </w:divBdr>
                </w:div>
              </w:divsChild>
            </w:div>
            <w:div w:id="1320580358">
              <w:marLeft w:val="0"/>
              <w:marRight w:val="0"/>
              <w:marTop w:val="0"/>
              <w:marBottom w:val="0"/>
              <w:divBdr>
                <w:top w:val="none" w:sz="0" w:space="0" w:color="auto"/>
                <w:left w:val="none" w:sz="0" w:space="0" w:color="auto"/>
                <w:bottom w:val="none" w:sz="0" w:space="0" w:color="auto"/>
                <w:right w:val="none" w:sz="0" w:space="0" w:color="auto"/>
              </w:divBdr>
              <w:divsChild>
                <w:div w:id="1873424182">
                  <w:marLeft w:val="0"/>
                  <w:marRight w:val="0"/>
                  <w:marTop w:val="0"/>
                  <w:marBottom w:val="0"/>
                  <w:divBdr>
                    <w:top w:val="none" w:sz="0" w:space="0" w:color="auto"/>
                    <w:left w:val="none" w:sz="0" w:space="0" w:color="auto"/>
                    <w:bottom w:val="none" w:sz="0" w:space="0" w:color="auto"/>
                    <w:right w:val="none" w:sz="0" w:space="0" w:color="auto"/>
                  </w:divBdr>
                </w:div>
              </w:divsChild>
            </w:div>
            <w:div w:id="1277447730">
              <w:marLeft w:val="0"/>
              <w:marRight w:val="0"/>
              <w:marTop w:val="0"/>
              <w:marBottom w:val="0"/>
              <w:divBdr>
                <w:top w:val="none" w:sz="0" w:space="0" w:color="auto"/>
                <w:left w:val="none" w:sz="0" w:space="0" w:color="auto"/>
                <w:bottom w:val="none" w:sz="0" w:space="0" w:color="auto"/>
                <w:right w:val="none" w:sz="0" w:space="0" w:color="auto"/>
              </w:divBdr>
              <w:divsChild>
                <w:div w:id="134420080">
                  <w:marLeft w:val="0"/>
                  <w:marRight w:val="0"/>
                  <w:marTop w:val="0"/>
                  <w:marBottom w:val="0"/>
                  <w:divBdr>
                    <w:top w:val="none" w:sz="0" w:space="0" w:color="auto"/>
                    <w:left w:val="none" w:sz="0" w:space="0" w:color="auto"/>
                    <w:bottom w:val="none" w:sz="0" w:space="0" w:color="auto"/>
                    <w:right w:val="none" w:sz="0" w:space="0" w:color="auto"/>
                  </w:divBdr>
                </w:div>
              </w:divsChild>
            </w:div>
            <w:div w:id="1687369329">
              <w:marLeft w:val="0"/>
              <w:marRight w:val="0"/>
              <w:marTop w:val="0"/>
              <w:marBottom w:val="0"/>
              <w:divBdr>
                <w:top w:val="none" w:sz="0" w:space="0" w:color="auto"/>
                <w:left w:val="none" w:sz="0" w:space="0" w:color="auto"/>
                <w:bottom w:val="none" w:sz="0" w:space="0" w:color="auto"/>
                <w:right w:val="none" w:sz="0" w:space="0" w:color="auto"/>
              </w:divBdr>
              <w:divsChild>
                <w:div w:id="2035375300">
                  <w:marLeft w:val="0"/>
                  <w:marRight w:val="0"/>
                  <w:marTop w:val="0"/>
                  <w:marBottom w:val="0"/>
                  <w:divBdr>
                    <w:top w:val="none" w:sz="0" w:space="0" w:color="auto"/>
                    <w:left w:val="none" w:sz="0" w:space="0" w:color="auto"/>
                    <w:bottom w:val="none" w:sz="0" w:space="0" w:color="auto"/>
                    <w:right w:val="none" w:sz="0" w:space="0" w:color="auto"/>
                  </w:divBdr>
                </w:div>
              </w:divsChild>
            </w:div>
            <w:div w:id="846529232">
              <w:marLeft w:val="0"/>
              <w:marRight w:val="0"/>
              <w:marTop w:val="0"/>
              <w:marBottom w:val="0"/>
              <w:divBdr>
                <w:top w:val="none" w:sz="0" w:space="0" w:color="auto"/>
                <w:left w:val="none" w:sz="0" w:space="0" w:color="auto"/>
                <w:bottom w:val="none" w:sz="0" w:space="0" w:color="auto"/>
                <w:right w:val="none" w:sz="0" w:space="0" w:color="auto"/>
              </w:divBdr>
              <w:divsChild>
                <w:div w:id="777021482">
                  <w:marLeft w:val="0"/>
                  <w:marRight w:val="0"/>
                  <w:marTop w:val="0"/>
                  <w:marBottom w:val="0"/>
                  <w:divBdr>
                    <w:top w:val="none" w:sz="0" w:space="0" w:color="auto"/>
                    <w:left w:val="none" w:sz="0" w:space="0" w:color="auto"/>
                    <w:bottom w:val="none" w:sz="0" w:space="0" w:color="auto"/>
                    <w:right w:val="none" w:sz="0" w:space="0" w:color="auto"/>
                  </w:divBdr>
                </w:div>
              </w:divsChild>
            </w:div>
            <w:div w:id="1396395971">
              <w:marLeft w:val="0"/>
              <w:marRight w:val="0"/>
              <w:marTop w:val="0"/>
              <w:marBottom w:val="0"/>
              <w:divBdr>
                <w:top w:val="none" w:sz="0" w:space="0" w:color="auto"/>
                <w:left w:val="none" w:sz="0" w:space="0" w:color="auto"/>
                <w:bottom w:val="none" w:sz="0" w:space="0" w:color="auto"/>
                <w:right w:val="none" w:sz="0" w:space="0" w:color="auto"/>
              </w:divBdr>
              <w:divsChild>
                <w:div w:id="21317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28785">
      <w:bodyDiv w:val="1"/>
      <w:marLeft w:val="0"/>
      <w:marRight w:val="0"/>
      <w:marTop w:val="0"/>
      <w:marBottom w:val="0"/>
      <w:divBdr>
        <w:top w:val="none" w:sz="0" w:space="0" w:color="auto"/>
        <w:left w:val="none" w:sz="0" w:space="0" w:color="auto"/>
        <w:bottom w:val="none" w:sz="0" w:space="0" w:color="auto"/>
        <w:right w:val="none" w:sz="0" w:space="0" w:color="auto"/>
      </w:divBdr>
    </w:div>
    <w:div w:id="1329015606">
      <w:bodyDiv w:val="1"/>
      <w:marLeft w:val="0"/>
      <w:marRight w:val="0"/>
      <w:marTop w:val="0"/>
      <w:marBottom w:val="0"/>
      <w:divBdr>
        <w:top w:val="none" w:sz="0" w:space="0" w:color="auto"/>
        <w:left w:val="none" w:sz="0" w:space="0" w:color="auto"/>
        <w:bottom w:val="none" w:sz="0" w:space="0" w:color="auto"/>
        <w:right w:val="none" w:sz="0" w:space="0" w:color="auto"/>
      </w:divBdr>
    </w:div>
    <w:div w:id="1499541559">
      <w:bodyDiv w:val="1"/>
      <w:marLeft w:val="0"/>
      <w:marRight w:val="0"/>
      <w:marTop w:val="0"/>
      <w:marBottom w:val="0"/>
      <w:divBdr>
        <w:top w:val="none" w:sz="0" w:space="0" w:color="auto"/>
        <w:left w:val="none" w:sz="0" w:space="0" w:color="auto"/>
        <w:bottom w:val="none" w:sz="0" w:space="0" w:color="auto"/>
        <w:right w:val="none" w:sz="0" w:space="0" w:color="auto"/>
      </w:divBdr>
      <w:divsChild>
        <w:div w:id="956178540">
          <w:marLeft w:val="547"/>
          <w:marRight w:val="0"/>
          <w:marTop w:val="0"/>
          <w:marBottom w:val="0"/>
          <w:divBdr>
            <w:top w:val="none" w:sz="0" w:space="0" w:color="auto"/>
            <w:left w:val="none" w:sz="0" w:space="0" w:color="auto"/>
            <w:bottom w:val="none" w:sz="0" w:space="0" w:color="auto"/>
            <w:right w:val="none" w:sz="0" w:space="0" w:color="auto"/>
          </w:divBdr>
        </w:div>
        <w:div w:id="1568683027">
          <w:marLeft w:val="547"/>
          <w:marRight w:val="0"/>
          <w:marTop w:val="0"/>
          <w:marBottom w:val="0"/>
          <w:divBdr>
            <w:top w:val="none" w:sz="0" w:space="0" w:color="auto"/>
            <w:left w:val="none" w:sz="0" w:space="0" w:color="auto"/>
            <w:bottom w:val="none" w:sz="0" w:space="0" w:color="auto"/>
            <w:right w:val="none" w:sz="0" w:space="0" w:color="auto"/>
          </w:divBdr>
        </w:div>
      </w:divsChild>
    </w:div>
    <w:div w:id="1651251487">
      <w:bodyDiv w:val="1"/>
      <w:marLeft w:val="0"/>
      <w:marRight w:val="0"/>
      <w:marTop w:val="0"/>
      <w:marBottom w:val="0"/>
      <w:divBdr>
        <w:top w:val="none" w:sz="0" w:space="0" w:color="auto"/>
        <w:left w:val="none" w:sz="0" w:space="0" w:color="auto"/>
        <w:bottom w:val="none" w:sz="0" w:space="0" w:color="auto"/>
        <w:right w:val="none" w:sz="0" w:space="0" w:color="auto"/>
      </w:divBdr>
    </w:div>
    <w:div w:id="1675692346">
      <w:bodyDiv w:val="1"/>
      <w:marLeft w:val="0"/>
      <w:marRight w:val="0"/>
      <w:marTop w:val="0"/>
      <w:marBottom w:val="0"/>
      <w:divBdr>
        <w:top w:val="none" w:sz="0" w:space="0" w:color="auto"/>
        <w:left w:val="none" w:sz="0" w:space="0" w:color="auto"/>
        <w:bottom w:val="none" w:sz="0" w:space="0" w:color="auto"/>
        <w:right w:val="none" w:sz="0" w:space="0" w:color="auto"/>
      </w:divBdr>
    </w:div>
    <w:div w:id="1783300167">
      <w:bodyDiv w:val="1"/>
      <w:marLeft w:val="0"/>
      <w:marRight w:val="0"/>
      <w:marTop w:val="0"/>
      <w:marBottom w:val="0"/>
      <w:divBdr>
        <w:top w:val="none" w:sz="0" w:space="0" w:color="auto"/>
        <w:left w:val="none" w:sz="0" w:space="0" w:color="auto"/>
        <w:bottom w:val="none" w:sz="0" w:space="0" w:color="auto"/>
        <w:right w:val="none" w:sz="0" w:space="0" w:color="auto"/>
      </w:divBdr>
    </w:div>
    <w:div w:id="1822768957">
      <w:bodyDiv w:val="1"/>
      <w:marLeft w:val="0"/>
      <w:marRight w:val="0"/>
      <w:marTop w:val="0"/>
      <w:marBottom w:val="0"/>
      <w:divBdr>
        <w:top w:val="none" w:sz="0" w:space="0" w:color="auto"/>
        <w:left w:val="none" w:sz="0" w:space="0" w:color="auto"/>
        <w:bottom w:val="none" w:sz="0" w:space="0" w:color="auto"/>
        <w:right w:val="none" w:sz="0" w:space="0" w:color="auto"/>
      </w:divBdr>
      <w:divsChild>
        <w:div w:id="1414401631">
          <w:marLeft w:val="547"/>
          <w:marRight w:val="0"/>
          <w:marTop w:val="0"/>
          <w:marBottom w:val="0"/>
          <w:divBdr>
            <w:top w:val="none" w:sz="0" w:space="0" w:color="auto"/>
            <w:left w:val="none" w:sz="0" w:space="0" w:color="auto"/>
            <w:bottom w:val="none" w:sz="0" w:space="0" w:color="auto"/>
            <w:right w:val="none" w:sz="0" w:space="0" w:color="auto"/>
          </w:divBdr>
        </w:div>
      </w:divsChild>
    </w:div>
    <w:div w:id="1884292403">
      <w:bodyDiv w:val="1"/>
      <w:marLeft w:val="0"/>
      <w:marRight w:val="0"/>
      <w:marTop w:val="0"/>
      <w:marBottom w:val="0"/>
      <w:divBdr>
        <w:top w:val="none" w:sz="0" w:space="0" w:color="auto"/>
        <w:left w:val="none" w:sz="0" w:space="0" w:color="auto"/>
        <w:bottom w:val="none" w:sz="0" w:space="0" w:color="auto"/>
        <w:right w:val="none" w:sz="0" w:space="0" w:color="auto"/>
      </w:divBdr>
      <w:divsChild>
        <w:div w:id="1167328632">
          <w:marLeft w:val="547"/>
          <w:marRight w:val="0"/>
          <w:marTop w:val="0"/>
          <w:marBottom w:val="0"/>
          <w:divBdr>
            <w:top w:val="none" w:sz="0" w:space="0" w:color="auto"/>
            <w:left w:val="none" w:sz="0" w:space="0" w:color="auto"/>
            <w:bottom w:val="none" w:sz="0" w:space="0" w:color="auto"/>
            <w:right w:val="none" w:sz="0" w:space="0" w:color="auto"/>
          </w:divBdr>
        </w:div>
        <w:div w:id="1492015955">
          <w:marLeft w:val="547"/>
          <w:marRight w:val="0"/>
          <w:marTop w:val="0"/>
          <w:marBottom w:val="0"/>
          <w:divBdr>
            <w:top w:val="none" w:sz="0" w:space="0" w:color="auto"/>
            <w:left w:val="none" w:sz="0" w:space="0" w:color="auto"/>
            <w:bottom w:val="none" w:sz="0" w:space="0" w:color="auto"/>
            <w:right w:val="none" w:sz="0" w:space="0" w:color="auto"/>
          </w:divBdr>
        </w:div>
        <w:div w:id="581794864">
          <w:marLeft w:val="547"/>
          <w:marRight w:val="0"/>
          <w:marTop w:val="0"/>
          <w:marBottom w:val="0"/>
          <w:divBdr>
            <w:top w:val="none" w:sz="0" w:space="0" w:color="auto"/>
            <w:left w:val="none" w:sz="0" w:space="0" w:color="auto"/>
            <w:bottom w:val="none" w:sz="0" w:space="0" w:color="auto"/>
            <w:right w:val="none" w:sz="0" w:space="0" w:color="auto"/>
          </w:divBdr>
        </w:div>
      </w:divsChild>
    </w:div>
    <w:div w:id="1953241991">
      <w:bodyDiv w:val="1"/>
      <w:marLeft w:val="0"/>
      <w:marRight w:val="0"/>
      <w:marTop w:val="0"/>
      <w:marBottom w:val="0"/>
      <w:divBdr>
        <w:top w:val="none" w:sz="0" w:space="0" w:color="auto"/>
        <w:left w:val="none" w:sz="0" w:space="0" w:color="auto"/>
        <w:bottom w:val="none" w:sz="0" w:space="0" w:color="auto"/>
        <w:right w:val="none" w:sz="0" w:space="0" w:color="auto"/>
      </w:divBdr>
    </w:div>
    <w:div w:id="1969774739">
      <w:bodyDiv w:val="1"/>
      <w:marLeft w:val="0"/>
      <w:marRight w:val="0"/>
      <w:marTop w:val="0"/>
      <w:marBottom w:val="0"/>
      <w:divBdr>
        <w:top w:val="none" w:sz="0" w:space="0" w:color="auto"/>
        <w:left w:val="none" w:sz="0" w:space="0" w:color="auto"/>
        <w:bottom w:val="none" w:sz="0" w:space="0" w:color="auto"/>
        <w:right w:val="none" w:sz="0" w:space="0" w:color="auto"/>
      </w:divBdr>
    </w:div>
    <w:div w:id="1972706257">
      <w:bodyDiv w:val="1"/>
      <w:marLeft w:val="0"/>
      <w:marRight w:val="0"/>
      <w:marTop w:val="0"/>
      <w:marBottom w:val="0"/>
      <w:divBdr>
        <w:top w:val="none" w:sz="0" w:space="0" w:color="auto"/>
        <w:left w:val="none" w:sz="0" w:space="0" w:color="auto"/>
        <w:bottom w:val="none" w:sz="0" w:space="0" w:color="auto"/>
        <w:right w:val="none" w:sz="0" w:space="0" w:color="auto"/>
      </w:divBdr>
    </w:div>
    <w:div w:id="1990745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6401C-8546-47AF-9B38-E3E31004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12449</Words>
  <Characters>70961</Characters>
  <Application>Microsoft Office Word</Application>
  <DocSecurity>4</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Maths Technology Ltd</Company>
  <LinksUpToDate>false</LinksUpToDate>
  <CharactersWithSpaces>83244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Thomas</dc:creator>
  <cp:lastModifiedBy>Jacob Reid</cp:lastModifiedBy>
  <cp:revision>2</cp:revision>
  <cp:lastPrinted>2015-04-26T05:40:00Z</cp:lastPrinted>
  <dcterms:created xsi:type="dcterms:W3CDTF">2016-09-25T21:57:00Z</dcterms:created>
  <dcterms:modified xsi:type="dcterms:W3CDTF">2016-09-25T21:57:00Z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Objective-Id">
    <vt:lpwstr>A935586</vt:lpwstr>
  </property>
  <property fmtid="{D5CDD505-2E9C-101B-9397-08002B2CF9AE}" pid="11" name="Objective-Title">
    <vt:lpwstr>Alignment of Literacy and Numeracy Measures (proofed version)</vt:lpwstr>
  </property>
  <property fmtid="{D5CDD505-2E9C-101B-9397-08002B2CF9AE}" pid="12" name="Objective-Comment">
    <vt:lpwstr/>
  </property>
  <property fmtid="{D5CDD505-2E9C-101B-9397-08002B2CF9AE}" pid="13" name="Objective-CreationStamp">
    <vt:filetime>2015-08-23T22:04:12Z</vt:filetime>
  </property>
  <property fmtid="{D5CDD505-2E9C-101B-9397-08002B2CF9AE}" pid="14" name="Objective-IsApproved">
    <vt:bool>false</vt:bool>
  </property>
  <property fmtid="{D5CDD505-2E9C-101B-9397-08002B2CF9AE}" pid="15" name="Objective-IsPublished">
    <vt:bool>true</vt:bool>
  </property>
  <property fmtid="{D5CDD505-2E9C-101B-9397-08002B2CF9AE}" pid="16" name="Objective-DatePublished">
    <vt:filetime>2015-08-23T22:05:39Z</vt:filetime>
  </property>
  <property fmtid="{D5CDD505-2E9C-101B-9397-08002B2CF9AE}" pid="17" name="Objective-ModificationStamp">
    <vt:filetime>2015-09-10T00:08:19Z</vt:filetime>
  </property>
  <property fmtid="{D5CDD505-2E9C-101B-9397-08002B2CF9AE}" pid="18" name="Objective-Owner">
    <vt:lpwstr>Frannie Aston</vt:lpwstr>
  </property>
  <property fmtid="{D5CDD505-2E9C-101B-9397-08002B2CF9AE}" pid="19" name="Objective-Path">
    <vt:lpwstr>Objective Global Folder:TEC Global Folder:Strategy Development:Tertiary Strategy:Literacy, Language and Numeracy (LLN):Educational Infrastructure:Pathways Awarua (Maths Technology Limited [Maths Tech]):Procurement - Alignment Research:</vt:lpwstr>
  </property>
  <property fmtid="{D5CDD505-2E9C-101B-9397-08002B2CF9AE}" pid="20" name="Objective-Parent">
    <vt:lpwstr>Procurement - Alignment Research</vt:lpwstr>
  </property>
  <property fmtid="{D5CDD505-2E9C-101B-9397-08002B2CF9AE}" pid="21" name="Objective-State">
    <vt:lpwstr>Published</vt:lpwstr>
  </property>
  <property fmtid="{D5CDD505-2E9C-101B-9397-08002B2CF9AE}" pid="22" name="Objective-Version">
    <vt:lpwstr>1.0</vt:lpwstr>
  </property>
  <property fmtid="{D5CDD505-2E9C-101B-9397-08002B2CF9AE}" pid="23" name="Objective-VersionNumber">
    <vt:r8>2</vt:r8>
  </property>
  <property fmtid="{D5CDD505-2E9C-101B-9397-08002B2CF9AE}" pid="24" name="Objective-VersionComment">
    <vt:lpwstr/>
  </property>
  <property fmtid="{D5CDD505-2E9C-101B-9397-08002B2CF9AE}" pid="25" name="Objective-FileNumber">
    <vt:lpwstr/>
  </property>
  <property fmtid="{D5CDD505-2E9C-101B-9397-08002B2CF9AE}" pid="26" name="Objective-Classification">
    <vt:lpwstr>[Inherited - none]</vt:lpwstr>
  </property>
  <property fmtid="{D5CDD505-2E9C-101B-9397-08002B2CF9AE}" pid="27" name="Objective-Caveats">
    <vt:lpwstr/>
  </property>
  <property fmtid="{D5CDD505-2E9C-101B-9397-08002B2CF9AE}" pid="28" name="Objective-Reference [system]">
    <vt:lpwstr/>
  </property>
  <property fmtid="{D5CDD505-2E9C-101B-9397-08002B2CF9AE}" pid="29" name="Objective-Date [system]">
    <vt:lpwstr/>
  </property>
  <property fmtid="{D5CDD505-2E9C-101B-9397-08002B2CF9AE}" pid="30" name="Objective-Action [system]">
    <vt:lpwstr/>
  </property>
  <property fmtid="{D5CDD505-2E9C-101B-9397-08002B2CF9AE}" pid="31" name="Objective-Responsible [system]">
    <vt:lpwstr/>
  </property>
  <property fmtid="{D5CDD505-2E9C-101B-9397-08002B2CF9AE}" pid="32" name="Objective-Financial Year [system]">
    <vt:lpwstr/>
  </property>
  <property fmtid="{D5CDD505-2E9C-101B-9397-08002B2CF9AE}" pid="33" name="Objective-Calendar Year [system]">
    <vt:lpwstr/>
  </property>
  <property fmtid="{D5CDD505-2E9C-101B-9397-08002B2CF9AE}" pid="34" name="Objective-EDUMIS Number [system]">
    <vt:lpwstr/>
  </property>
  <property fmtid="{D5CDD505-2E9C-101B-9397-08002B2CF9AE}" pid="35" name="Objective-Sub Sector [system]">
    <vt:lpwstr/>
  </property>
</Properties>
</file>