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99DC7" w14:textId="77777777" w:rsidR="00201E4D" w:rsidRPr="00323EE4" w:rsidRDefault="00201E4D" w:rsidP="00201E4D">
      <w:pPr>
        <w:rPr>
          <w:sz w:val="24"/>
        </w:rPr>
      </w:pPr>
      <w:r w:rsidRPr="00323EE4">
        <w:rPr>
          <w:b/>
          <w:bCs/>
          <w:sz w:val="24"/>
        </w:rPr>
        <w:t>TEO name:</w:t>
      </w:r>
      <w:r w:rsidRPr="00323EE4">
        <w:rPr>
          <w:sz w:val="24"/>
        </w:rPr>
        <w:t xml:space="preserve"> </w:t>
      </w:r>
    </w:p>
    <w:p w14:paraId="1906BB94" w14:textId="77777777" w:rsidR="00201E4D" w:rsidRPr="00323EE4" w:rsidRDefault="00201E4D" w:rsidP="00201E4D">
      <w:pPr>
        <w:rPr>
          <w:b/>
          <w:bCs/>
          <w:sz w:val="24"/>
        </w:rPr>
      </w:pPr>
      <w:r w:rsidRPr="00323EE4">
        <w:rPr>
          <w:b/>
          <w:bCs/>
          <w:sz w:val="24"/>
        </w:rPr>
        <w:t>EDUMIS:</w:t>
      </w:r>
    </w:p>
    <w:p w14:paraId="3256DFE7" w14:textId="77777777" w:rsidR="00201E4D" w:rsidRPr="00323EE4" w:rsidRDefault="00201E4D" w:rsidP="00201E4D">
      <w:pPr>
        <w:rPr>
          <w:sz w:val="24"/>
        </w:rPr>
      </w:pPr>
      <w:r w:rsidRPr="00323EE4">
        <w:rPr>
          <w:b/>
          <w:bCs/>
          <w:sz w:val="24"/>
        </w:rPr>
        <w:t>Instructions</w:t>
      </w:r>
    </w:p>
    <w:p w14:paraId="49D8712A" w14:textId="77777777" w:rsidR="00201E4D" w:rsidRPr="00323EE4" w:rsidRDefault="00201E4D" w:rsidP="00201E4D">
      <w:pPr>
        <w:rPr>
          <w:rFonts w:cs="Calibri"/>
          <w:sz w:val="24"/>
        </w:rPr>
      </w:pPr>
      <w:r w:rsidRPr="00323EE4">
        <w:rPr>
          <w:sz w:val="24"/>
        </w:rPr>
        <w:t xml:space="preserve">Complete the table below and email to </w:t>
      </w:r>
      <w:hyperlink r:id="rId12" w:history="1">
        <w:r w:rsidRPr="00323EE4">
          <w:rPr>
            <w:rStyle w:val="Hyperlink"/>
            <w:sz w:val="24"/>
          </w:rPr>
          <w:t>customerservice@tec.govt.nz</w:t>
        </w:r>
      </w:hyperlink>
      <w:r w:rsidRPr="00323EE4">
        <w:rPr>
          <w:sz w:val="24"/>
        </w:rPr>
        <w:t xml:space="preserve"> with the subject line “[EDUMIS #] – 2026 Significant Plan Amendment – </w:t>
      </w:r>
      <w:proofErr w:type="spellStart"/>
      <w:r w:rsidRPr="00323EE4">
        <w:rPr>
          <w:sz w:val="24"/>
        </w:rPr>
        <w:t>MoP</w:t>
      </w:r>
      <w:proofErr w:type="spellEnd"/>
      <w:r w:rsidRPr="00323EE4">
        <w:rPr>
          <w:sz w:val="24"/>
        </w:rPr>
        <w:t xml:space="preserve"> changes” </w:t>
      </w:r>
      <w:r w:rsidRPr="00323EE4">
        <w:rPr>
          <w:rFonts w:cs="Calibri"/>
          <w:sz w:val="24"/>
        </w:rPr>
        <w:t>and copy in your Relationship Manager, if you have one</w:t>
      </w:r>
      <w:r w:rsidRPr="00323EE4">
        <w:rPr>
          <w:sz w:val="24"/>
        </w:rPr>
        <w:t xml:space="preserve">. </w:t>
      </w:r>
    </w:p>
    <w:p w14:paraId="0F7A46B5" w14:textId="77777777" w:rsidR="00201E4D" w:rsidRPr="00323EE4" w:rsidRDefault="00201E4D" w:rsidP="00201E4D">
      <w:pPr>
        <w:rPr>
          <w:sz w:val="24"/>
        </w:rPr>
      </w:pPr>
      <w:r w:rsidRPr="00323EE4">
        <w:rPr>
          <w:sz w:val="24"/>
        </w:rPr>
        <w:t xml:space="preserve">Use a new row for each qualification or credential that you are proposing to change. For example, row 1: qualification A we are proposing to reduce by 10 EFTS; row 2: qualification B we are proposing to increase by 8 EFTS; row 3: qualification C we are proposing to increase by 2 EFTS. </w:t>
      </w:r>
    </w:p>
    <w:p w14:paraId="60F73730" w14:textId="77777777" w:rsidR="00201E4D" w:rsidRPr="00323EE4" w:rsidRDefault="00201E4D" w:rsidP="00201E4D">
      <w:pPr>
        <w:rPr>
          <w:sz w:val="24"/>
        </w:rPr>
      </w:pPr>
      <w:r w:rsidRPr="00323EE4">
        <w:rPr>
          <w:sz w:val="24"/>
        </w:rPr>
        <w:t>In the comments column describe the request, including the reason why the change is occurring and any engagement you have undertaken with stakeholders. If there is not enough room in the column, include any additional information below the table or as an attachment to the email. Where relevant to the application, please include:</w:t>
      </w:r>
    </w:p>
    <w:p w14:paraId="070D1770" w14:textId="77777777" w:rsidR="00201E4D" w:rsidRPr="00323EE4" w:rsidRDefault="00201E4D" w:rsidP="00323EE4">
      <w:pPr>
        <w:pStyle w:val="ListParagraph"/>
        <w:numPr>
          <w:ilvl w:val="0"/>
          <w:numId w:val="2"/>
        </w:numPr>
        <w:rPr>
          <w:sz w:val="24"/>
        </w:rPr>
      </w:pPr>
      <w:r w:rsidRPr="00323EE4">
        <w:rPr>
          <w:sz w:val="24"/>
        </w:rPr>
        <w:t xml:space="preserve">whether you are </w:t>
      </w:r>
      <w:proofErr w:type="gramStart"/>
      <w:r w:rsidRPr="00323EE4">
        <w:rPr>
          <w:sz w:val="24"/>
        </w:rPr>
        <w:t>propose</w:t>
      </w:r>
      <w:proofErr w:type="gramEnd"/>
      <w:r w:rsidRPr="00323EE4">
        <w:rPr>
          <w:sz w:val="24"/>
        </w:rPr>
        <w:t xml:space="preserve"> to stop, start or decease delivering each of the qualifications and/or credentials</w:t>
      </w:r>
    </w:p>
    <w:p w14:paraId="1C48E5DA" w14:textId="77777777" w:rsidR="00201E4D" w:rsidRPr="00323EE4" w:rsidRDefault="00201E4D" w:rsidP="00323EE4">
      <w:pPr>
        <w:pStyle w:val="ListParagraph"/>
        <w:numPr>
          <w:ilvl w:val="0"/>
          <w:numId w:val="2"/>
        </w:numPr>
        <w:rPr>
          <w:sz w:val="24"/>
        </w:rPr>
      </w:pPr>
      <w:r w:rsidRPr="00323EE4">
        <w:rPr>
          <w:sz w:val="24"/>
        </w:rPr>
        <w:t>the rationale for the proposed change – this could include evidence of changes to demand</w:t>
      </w:r>
    </w:p>
    <w:p w14:paraId="33A69E95" w14:textId="77777777" w:rsidR="00201E4D" w:rsidRPr="00323EE4" w:rsidRDefault="00201E4D" w:rsidP="00323EE4">
      <w:pPr>
        <w:pStyle w:val="ListParagraph"/>
        <w:numPr>
          <w:ilvl w:val="0"/>
          <w:numId w:val="2"/>
        </w:numPr>
        <w:rPr>
          <w:sz w:val="24"/>
        </w:rPr>
      </w:pPr>
      <w:r w:rsidRPr="00323EE4">
        <w:rPr>
          <w:sz w:val="24"/>
        </w:rPr>
        <w:t>whether you propose to decrease priority provision and increase non-priority provision, and why</w:t>
      </w:r>
    </w:p>
    <w:p w14:paraId="1A1E916C" w14:textId="77777777" w:rsidR="00201E4D" w:rsidRPr="00323EE4" w:rsidRDefault="00201E4D" w:rsidP="00323EE4">
      <w:pPr>
        <w:pStyle w:val="ListParagraph"/>
        <w:numPr>
          <w:ilvl w:val="0"/>
          <w:numId w:val="2"/>
        </w:numPr>
        <w:rPr>
          <w:sz w:val="24"/>
        </w:rPr>
      </w:pPr>
      <w:r w:rsidRPr="00323EE4">
        <w:rPr>
          <w:sz w:val="24"/>
        </w:rPr>
        <w:t>the region you propose to start/stop delivering, and why</w:t>
      </w:r>
    </w:p>
    <w:p w14:paraId="21BDA72A" w14:textId="77777777" w:rsidR="00201E4D" w:rsidRPr="00323EE4" w:rsidRDefault="00201E4D" w:rsidP="00323EE4">
      <w:pPr>
        <w:pStyle w:val="ListParagraph"/>
        <w:numPr>
          <w:ilvl w:val="0"/>
          <w:numId w:val="2"/>
        </w:numPr>
        <w:rPr>
          <w:sz w:val="24"/>
        </w:rPr>
      </w:pPr>
      <w:r w:rsidRPr="00323EE4">
        <w:rPr>
          <w:sz w:val="24"/>
        </w:rPr>
        <w:t>whether you propose a change to the mode of delivery, and why</w:t>
      </w:r>
    </w:p>
    <w:p w14:paraId="03C2C250" w14:textId="77777777" w:rsidR="00201E4D" w:rsidRPr="00323EE4" w:rsidRDefault="00201E4D" w:rsidP="00323EE4">
      <w:pPr>
        <w:pStyle w:val="ListParagraph"/>
        <w:numPr>
          <w:ilvl w:val="0"/>
          <w:numId w:val="2"/>
        </w:numPr>
        <w:rPr>
          <w:sz w:val="24"/>
        </w:rPr>
      </w:pPr>
      <w:r w:rsidRPr="00323EE4">
        <w:rPr>
          <w:sz w:val="24"/>
        </w:rPr>
        <w:t>information about the stakeholders you consulted about the proposed change</w:t>
      </w:r>
    </w:p>
    <w:p w14:paraId="7A1D2FB0" w14:textId="28373397" w:rsidR="00201E4D" w:rsidRPr="00323EE4" w:rsidRDefault="00201E4D" w:rsidP="00323EE4">
      <w:pPr>
        <w:pStyle w:val="ListParagraph"/>
        <w:numPr>
          <w:ilvl w:val="0"/>
          <w:numId w:val="2"/>
        </w:numPr>
        <w:rPr>
          <w:sz w:val="24"/>
        </w:rPr>
      </w:pPr>
      <w:r w:rsidRPr="00323EE4">
        <w:rPr>
          <w:sz w:val="24"/>
        </w:rPr>
        <w:t>the funding category/rate for each qualification you are propose a change to, so we can determine if the request is cost-neutral</w:t>
      </w:r>
    </w:p>
    <w:p w14:paraId="04F6FB59" w14:textId="251E9FD5" w:rsidR="00201E4D" w:rsidRPr="00323EE4" w:rsidRDefault="00201E4D" w:rsidP="00323EE4">
      <w:pPr>
        <w:pStyle w:val="ListParagraph"/>
        <w:numPr>
          <w:ilvl w:val="0"/>
          <w:numId w:val="2"/>
        </w:numPr>
        <w:rPr>
          <w:sz w:val="24"/>
        </w:rPr>
      </w:pPr>
      <w:r w:rsidRPr="00323EE4">
        <w:rPr>
          <w:sz w:val="24"/>
        </w:rPr>
        <w:t>for TEIs only, the NZSCED for each qualification</w:t>
      </w:r>
    </w:p>
    <w:p w14:paraId="6D502EC7" w14:textId="3E75549B" w:rsidR="00201E4D" w:rsidRPr="00323EE4" w:rsidRDefault="00201E4D" w:rsidP="00323EE4">
      <w:pPr>
        <w:pStyle w:val="ListParagraph"/>
        <w:numPr>
          <w:ilvl w:val="0"/>
          <w:numId w:val="2"/>
        </w:numPr>
        <w:rPr>
          <w:sz w:val="24"/>
        </w:rPr>
      </w:pPr>
      <w:r w:rsidRPr="00323EE4">
        <w:rPr>
          <w:sz w:val="24"/>
        </w:rPr>
        <w:lastRenderedPageBreak/>
        <w:t>where you propose a change to Corrections facilities delivery, the engagement you have had with the Department of Corrections.</w:t>
      </w:r>
    </w:p>
    <w:tbl>
      <w:tblPr>
        <w:tblStyle w:val="TableGrid"/>
        <w:tblW w:w="14170" w:type="dxa"/>
        <w:tblBorders>
          <w:top w:val="single" w:sz="4" w:space="0" w:color="51494E"/>
          <w:left w:val="single" w:sz="4" w:space="0" w:color="51494E"/>
          <w:bottom w:val="single" w:sz="4" w:space="0" w:color="51494E"/>
          <w:right w:val="single" w:sz="4" w:space="0" w:color="51494E"/>
          <w:insideH w:val="single" w:sz="4" w:space="0" w:color="51494E"/>
          <w:insideV w:val="single" w:sz="4" w:space="0" w:color="51494E"/>
        </w:tblBorders>
        <w:tblLook w:val="04A0" w:firstRow="1" w:lastRow="0" w:firstColumn="1" w:lastColumn="0" w:noHBand="0" w:noVBand="1"/>
      </w:tblPr>
      <w:tblGrid>
        <w:gridCol w:w="1069"/>
        <w:gridCol w:w="1194"/>
        <w:gridCol w:w="2411"/>
        <w:gridCol w:w="888"/>
        <w:gridCol w:w="1480"/>
        <w:gridCol w:w="1236"/>
        <w:gridCol w:w="2035"/>
        <w:gridCol w:w="3857"/>
      </w:tblGrid>
      <w:tr w:rsidR="00323EE4" w:rsidRPr="00323EE4" w14:paraId="3CB66A8C" w14:textId="77777777" w:rsidTr="00323EE4">
        <w:tc>
          <w:tcPr>
            <w:tcW w:w="1099" w:type="dxa"/>
            <w:shd w:val="clear" w:color="auto" w:fill="51494E"/>
          </w:tcPr>
          <w:p w14:paraId="381F7637" w14:textId="77777777" w:rsidR="00201E4D" w:rsidRPr="00323EE4" w:rsidRDefault="00201E4D" w:rsidP="0049765D">
            <w:pPr>
              <w:rPr>
                <w:b/>
                <w:bCs/>
                <w:color w:val="FFFFFF" w:themeColor="background1"/>
                <w:sz w:val="24"/>
              </w:rPr>
            </w:pPr>
            <w:r w:rsidRPr="00323EE4">
              <w:rPr>
                <w:b/>
                <w:bCs/>
                <w:color w:val="FFFFFF" w:themeColor="background1"/>
                <w:sz w:val="24"/>
              </w:rPr>
              <w:t>Fund</w:t>
            </w:r>
          </w:p>
        </w:tc>
        <w:tc>
          <w:tcPr>
            <w:tcW w:w="1236" w:type="dxa"/>
            <w:shd w:val="clear" w:color="auto" w:fill="51494E"/>
          </w:tcPr>
          <w:p w14:paraId="2A06E171" w14:textId="77777777" w:rsidR="00201E4D" w:rsidRPr="00323EE4" w:rsidRDefault="00201E4D" w:rsidP="0049765D">
            <w:pPr>
              <w:rPr>
                <w:b/>
                <w:bCs/>
                <w:color w:val="FFFFFF" w:themeColor="background1"/>
                <w:sz w:val="24"/>
              </w:rPr>
            </w:pPr>
            <w:r w:rsidRPr="00323EE4">
              <w:rPr>
                <w:b/>
                <w:bCs/>
                <w:color w:val="FFFFFF" w:themeColor="background1"/>
                <w:sz w:val="24"/>
              </w:rPr>
              <w:t>Qual code</w:t>
            </w:r>
          </w:p>
        </w:tc>
        <w:tc>
          <w:tcPr>
            <w:tcW w:w="2488" w:type="dxa"/>
            <w:shd w:val="clear" w:color="auto" w:fill="51494E"/>
          </w:tcPr>
          <w:p w14:paraId="65036E23" w14:textId="22D73AE7" w:rsidR="00201E4D" w:rsidRPr="00323EE4" w:rsidRDefault="00201E4D" w:rsidP="0049765D">
            <w:pPr>
              <w:rPr>
                <w:b/>
                <w:bCs/>
                <w:color w:val="FFFFFF" w:themeColor="background1"/>
                <w:sz w:val="24"/>
              </w:rPr>
            </w:pPr>
            <w:r w:rsidRPr="00323EE4">
              <w:rPr>
                <w:b/>
                <w:bCs/>
                <w:color w:val="FFFFFF" w:themeColor="background1"/>
                <w:sz w:val="24"/>
              </w:rPr>
              <w:t>Qualification name</w:t>
            </w:r>
          </w:p>
        </w:tc>
        <w:tc>
          <w:tcPr>
            <w:tcW w:w="849" w:type="dxa"/>
            <w:shd w:val="clear" w:color="auto" w:fill="51494E"/>
          </w:tcPr>
          <w:p w14:paraId="4FA5167F" w14:textId="77777777" w:rsidR="00201E4D" w:rsidRPr="00323EE4" w:rsidRDefault="00201E4D" w:rsidP="0049765D">
            <w:pPr>
              <w:rPr>
                <w:b/>
                <w:bCs/>
                <w:color w:val="FFFFFF" w:themeColor="background1"/>
                <w:sz w:val="24"/>
              </w:rPr>
            </w:pPr>
            <w:r w:rsidRPr="00323EE4">
              <w:rPr>
                <w:b/>
                <w:bCs/>
                <w:color w:val="FFFFFF" w:themeColor="background1"/>
                <w:sz w:val="24"/>
              </w:rPr>
              <w:t>NZQCF level</w:t>
            </w:r>
          </w:p>
        </w:tc>
        <w:tc>
          <w:tcPr>
            <w:tcW w:w="1519" w:type="dxa"/>
            <w:shd w:val="clear" w:color="auto" w:fill="51494E"/>
          </w:tcPr>
          <w:p w14:paraId="0B5CE18E" w14:textId="77777777" w:rsidR="00201E4D" w:rsidRPr="00323EE4" w:rsidRDefault="00201E4D" w:rsidP="0049765D">
            <w:pPr>
              <w:rPr>
                <w:b/>
                <w:bCs/>
                <w:color w:val="FFFFFF" w:themeColor="background1"/>
                <w:sz w:val="24"/>
              </w:rPr>
            </w:pPr>
            <w:r w:rsidRPr="00323EE4">
              <w:rPr>
                <w:b/>
                <w:bCs/>
                <w:color w:val="FFFFFF" w:themeColor="background1"/>
                <w:sz w:val="24"/>
              </w:rPr>
              <w:t>Region of delivery</w:t>
            </w:r>
          </w:p>
        </w:tc>
        <w:tc>
          <w:tcPr>
            <w:tcW w:w="1255" w:type="dxa"/>
            <w:shd w:val="clear" w:color="auto" w:fill="51494E"/>
          </w:tcPr>
          <w:p w14:paraId="0545A8C8" w14:textId="77777777" w:rsidR="00201E4D" w:rsidRPr="00323EE4" w:rsidRDefault="00201E4D" w:rsidP="0049765D">
            <w:pPr>
              <w:rPr>
                <w:b/>
                <w:bCs/>
                <w:color w:val="FFFFFF" w:themeColor="background1"/>
                <w:sz w:val="24"/>
              </w:rPr>
            </w:pPr>
            <w:r w:rsidRPr="00323EE4">
              <w:rPr>
                <w:b/>
                <w:bCs/>
                <w:color w:val="FFFFFF" w:themeColor="background1"/>
                <w:sz w:val="24"/>
              </w:rPr>
              <w:t>Funding rate</w:t>
            </w:r>
          </w:p>
        </w:tc>
        <w:tc>
          <w:tcPr>
            <w:tcW w:w="1670" w:type="dxa"/>
            <w:shd w:val="clear" w:color="auto" w:fill="51494E"/>
          </w:tcPr>
          <w:p w14:paraId="0D11B277" w14:textId="77777777" w:rsidR="00201E4D" w:rsidRPr="00323EE4" w:rsidRDefault="00201E4D" w:rsidP="0049765D">
            <w:pPr>
              <w:rPr>
                <w:b/>
                <w:color w:val="FFFFFF" w:themeColor="background1"/>
                <w:sz w:val="24"/>
              </w:rPr>
            </w:pPr>
            <w:r w:rsidRPr="00323EE4">
              <w:rPr>
                <w:b/>
                <w:color w:val="FFFFFF" w:themeColor="background1"/>
                <w:sz w:val="24"/>
              </w:rPr>
              <w:t>EFTS/hours</w:t>
            </w:r>
          </w:p>
          <w:p w14:paraId="5C68A9DE" w14:textId="7CB04E55" w:rsidR="00201E4D" w:rsidRPr="00323EE4" w:rsidRDefault="00201E4D" w:rsidP="0049765D">
            <w:pPr>
              <w:rPr>
                <w:b/>
                <w:color w:val="FFFFFF" w:themeColor="background1"/>
                <w:sz w:val="24"/>
              </w:rPr>
            </w:pPr>
            <w:r w:rsidRPr="00323EE4">
              <w:rPr>
                <w:b/>
                <w:color w:val="FFFFFF" w:themeColor="background1"/>
                <w:sz w:val="24"/>
              </w:rPr>
              <w:t>Use +/- to indicate increase/decrease</w:t>
            </w:r>
          </w:p>
        </w:tc>
        <w:tc>
          <w:tcPr>
            <w:tcW w:w="4054" w:type="dxa"/>
            <w:shd w:val="clear" w:color="auto" w:fill="51494E"/>
          </w:tcPr>
          <w:p w14:paraId="36497FBE" w14:textId="77777777" w:rsidR="00201E4D" w:rsidRPr="00323EE4" w:rsidRDefault="00201E4D" w:rsidP="0049765D">
            <w:pPr>
              <w:rPr>
                <w:b/>
                <w:bCs/>
                <w:color w:val="FFFFFF" w:themeColor="background1"/>
                <w:sz w:val="24"/>
              </w:rPr>
            </w:pPr>
            <w:r w:rsidRPr="00323EE4">
              <w:rPr>
                <w:b/>
                <w:bCs/>
                <w:color w:val="FFFFFF" w:themeColor="background1"/>
                <w:sz w:val="24"/>
              </w:rPr>
              <w:t>Comments</w:t>
            </w:r>
          </w:p>
        </w:tc>
      </w:tr>
      <w:tr w:rsidR="00201E4D" w:rsidRPr="00323EE4" w14:paraId="7630C0B4" w14:textId="77777777" w:rsidTr="00323EE4">
        <w:tc>
          <w:tcPr>
            <w:tcW w:w="1099" w:type="dxa"/>
          </w:tcPr>
          <w:p w14:paraId="3D22647C" w14:textId="77777777" w:rsidR="00201E4D" w:rsidRPr="00323EE4" w:rsidRDefault="00201E4D" w:rsidP="0049765D">
            <w:pPr>
              <w:rPr>
                <w:sz w:val="24"/>
              </w:rPr>
            </w:pPr>
          </w:p>
        </w:tc>
        <w:tc>
          <w:tcPr>
            <w:tcW w:w="1236" w:type="dxa"/>
          </w:tcPr>
          <w:p w14:paraId="6B75CAE7" w14:textId="77777777" w:rsidR="00201E4D" w:rsidRPr="00323EE4" w:rsidRDefault="00201E4D" w:rsidP="0049765D">
            <w:pPr>
              <w:rPr>
                <w:sz w:val="24"/>
              </w:rPr>
            </w:pPr>
          </w:p>
        </w:tc>
        <w:tc>
          <w:tcPr>
            <w:tcW w:w="2488" w:type="dxa"/>
          </w:tcPr>
          <w:p w14:paraId="20F5E24D" w14:textId="77777777" w:rsidR="00201E4D" w:rsidRPr="00323EE4" w:rsidRDefault="00201E4D" w:rsidP="0049765D">
            <w:pPr>
              <w:rPr>
                <w:sz w:val="24"/>
              </w:rPr>
            </w:pPr>
          </w:p>
        </w:tc>
        <w:tc>
          <w:tcPr>
            <w:tcW w:w="849" w:type="dxa"/>
          </w:tcPr>
          <w:p w14:paraId="13F76A7C" w14:textId="77777777" w:rsidR="00201E4D" w:rsidRPr="00323EE4" w:rsidRDefault="00201E4D" w:rsidP="0049765D">
            <w:pPr>
              <w:rPr>
                <w:sz w:val="24"/>
              </w:rPr>
            </w:pPr>
          </w:p>
        </w:tc>
        <w:tc>
          <w:tcPr>
            <w:tcW w:w="1519" w:type="dxa"/>
          </w:tcPr>
          <w:p w14:paraId="15BCC79A" w14:textId="77777777" w:rsidR="00201E4D" w:rsidRPr="00323EE4" w:rsidRDefault="00201E4D" w:rsidP="0049765D">
            <w:pPr>
              <w:rPr>
                <w:sz w:val="24"/>
              </w:rPr>
            </w:pPr>
          </w:p>
        </w:tc>
        <w:tc>
          <w:tcPr>
            <w:tcW w:w="1255" w:type="dxa"/>
          </w:tcPr>
          <w:p w14:paraId="06422D66" w14:textId="77777777" w:rsidR="00201E4D" w:rsidRPr="00323EE4" w:rsidRDefault="00201E4D" w:rsidP="0049765D">
            <w:pPr>
              <w:rPr>
                <w:sz w:val="24"/>
              </w:rPr>
            </w:pPr>
          </w:p>
        </w:tc>
        <w:tc>
          <w:tcPr>
            <w:tcW w:w="1670" w:type="dxa"/>
          </w:tcPr>
          <w:p w14:paraId="33D45C5A" w14:textId="77777777" w:rsidR="00201E4D" w:rsidRPr="00323EE4" w:rsidRDefault="00201E4D" w:rsidP="0049765D">
            <w:pPr>
              <w:rPr>
                <w:sz w:val="24"/>
              </w:rPr>
            </w:pPr>
          </w:p>
        </w:tc>
        <w:tc>
          <w:tcPr>
            <w:tcW w:w="4054" w:type="dxa"/>
          </w:tcPr>
          <w:p w14:paraId="74E7A84E" w14:textId="77777777" w:rsidR="00201E4D" w:rsidRPr="00323EE4" w:rsidRDefault="00201E4D" w:rsidP="0049765D">
            <w:pPr>
              <w:rPr>
                <w:sz w:val="24"/>
              </w:rPr>
            </w:pPr>
          </w:p>
        </w:tc>
      </w:tr>
      <w:tr w:rsidR="00201E4D" w:rsidRPr="00323EE4" w14:paraId="588D4B4A" w14:textId="77777777" w:rsidTr="00323EE4">
        <w:tc>
          <w:tcPr>
            <w:tcW w:w="1099" w:type="dxa"/>
          </w:tcPr>
          <w:p w14:paraId="7B4DECA7" w14:textId="77777777" w:rsidR="00201E4D" w:rsidRPr="00323EE4" w:rsidRDefault="00201E4D" w:rsidP="0049765D">
            <w:pPr>
              <w:rPr>
                <w:sz w:val="24"/>
              </w:rPr>
            </w:pPr>
          </w:p>
        </w:tc>
        <w:tc>
          <w:tcPr>
            <w:tcW w:w="1236" w:type="dxa"/>
          </w:tcPr>
          <w:p w14:paraId="777CABF0" w14:textId="77777777" w:rsidR="00201E4D" w:rsidRPr="00323EE4" w:rsidRDefault="00201E4D" w:rsidP="0049765D">
            <w:pPr>
              <w:rPr>
                <w:sz w:val="24"/>
              </w:rPr>
            </w:pPr>
          </w:p>
        </w:tc>
        <w:tc>
          <w:tcPr>
            <w:tcW w:w="2488" w:type="dxa"/>
          </w:tcPr>
          <w:p w14:paraId="04DD1E56" w14:textId="77777777" w:rsidR="00201E4D" w:rsidRPr="00323EE4" w:rsidRDefault="00201E4D" w:rsidP="0049765D">
            <w:pPr>
              <w:rPr>
                <w:sz w:val="24"/>
              </w:rPr>
            </w:pPr>
          </w:p>
        </w:tc>
        <w:tc>
          <w:tcPr>
            <w:tcW w:w="849" w:type="dxa"/>
          </w:tcPr>
          <w:p w14:paraId="31E17E5E" w14:textId="77777777" w:rsidR="00201E4D" w:rsidRPr="00323EE4" w:rsidRDefault="00201E4D" w:rsidP="0049765D">
            <w:pPr>
              <w:rPr>
                <w:sz w:val="24"/>
              </w:rPr>
            </w:pPr>
          </w:p>
        </w:tc>
        <w:tc>
          <w:tcPr>
            <w:tcW w:w="1519" w:type="dxa"/>
          </w:tcPr>
          <w:p w14:paraId="32B9ADAC" w14:textId="77777777" w:rsidR="00201E4D" w:rsidRPr="00323EE4" w:rsidRDefault="00201E4D" w:rsidP="0049765D">
            <w:pPr>
              <w:rPr>
                <w:sz w:val="24"/>
              </w:rPr>
            </w:pPr>
          </w:p>
        </w:tc>
        <w:tc>
          <w:tcPr>
            <w:tcW w:w="1255" w:type="dxa"/>
          </w:tcPr>
          <w:p w14:paraId="18486AF1" w14:textId="77777777" w:rsidR="00201E4D" w:rsidRPr="00323EE4" w:rsidRDefault="00201E4D" w:rsidP="0049765D">
            <w:pPr>
              <w:rPr>
                <w:sz w:val="24"/>
              </w:rPr>
            </w:pPr>
          </w:p>
        </w:tc>
        <w:tc>
          <w:tcPr>
            <w:tcW w:w="1670" w:type="dxa"/>
          </w:tcPr>
          <w:p w14:paraId="2D3B4FA8" w14:textId="77777777" w:rsidR="00201E4D" w:rsidRPr="00323EE4" w:rsidRDefault="00201E4D" w:rsidP="0049765D">
            <w:pPr>
              <w:rPr>
                <w:sz w:val="24"/>
              </w:rPr>
            </w:pPr>
          </w:p>
        </w:tc>
        <w:tc>
          <w:tcPr>
            <w:tcW w:w="4054" w:type="dxa"/>
          </w:tcPr>
          <w:p w14:paraId="576BAB09" w14:textId="1A0AF362" w:rsidR="00201E4D" w:rsidRPr="00323EE4" w:rsidRDefault="00175052" w:rsidP="00175052">
            <w:pPr>
              <w:tabs>
                <w:tab w:val="left" w:pos="1305"/>
              </w:tabs>
              <w:rPr>
                <w:sz w:val="24"/>
              </w:rPr>
            </w:pPr>
            <w:r w:rsidRPr="00323EE4">
              <w:rPr>
                <w:sz w:val="24"/>
              </w:rPr>
              <w:tab/>
            </w:r>
          </w:p>
        </w:tc>
      </w:tr>
    </w:tbl>
    <w:p w14:paraId="4ADB5434" w14:textId="2F659E5B" w:rsidR="00A84EB6" w:rsidRDefault="00A84EB6" w:rsidP="00201E4D"/>
    <w:sectPr w:rsidR="00A84EB6" w:rsidSect="00323EE4">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21799" w14:textId="77777777" w:rsidR="00852407" w:rsidRDefault="00852407" w:rsidP="00201E4D">
      <w:pPr>
        <w:spacing w:after="0" w:line="240" w:lineRule="auto"/>
      </w:pPr>
      <w:r>
        <w:separator/>
      </w:r>
    </w:p>
  </w:endnote>
  <w:endnote w:type="continuationSeparator" w:id="0">
    <w:p w14:paraId="179DFA85" w14:textId="77777777" w:rsidR="00852407" w:rsidRDefault="00852407" w:rsidP="00201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7F64" w14:textId="77777777" w:rsidR="00126FE1" w:rsidRDefault="00126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468E" w14:textId="20B3D3A8" w:rsidR="00201E4D" w:rsidRPr="00201E4D" w:rsidRDefault="00201E4D" w:rsidP="00201E4D">
    <w:pPr>
      <w:pStyle w:val="Footer"/>
      <w:jc w:val="right"/>
      <w:rPr>
        <w:sz w:val="16"/>
        <w:szCs w:val="18"/>
      </w:rPr>
    </w:pPr>
    <w:r w:rsidRPr="009C4249">
      <w:rPr>
        <w:b/>
        <w:bCs/>
        <w:sz w:val="16"/>
        <w:szCs w:val="18"/>
      </w:rPr>
      <w:t>Tertiary Education Commission</w:t>
    </w:r>
    <w:r w:rsidRPr="009C4249">
      <w:rPr>
        <w:sz w:val="16"/>
        <w:szCs w:val="18"/>
      </w:rPr>
      <w:t xml:space="preserve"> </w:t>
    </w:r>
    <w:r w:rsidRPr="009C4249">
      <w:rPr>
        <w:rFonts w:cs="Calibri"/>
        <w:sz w:val="16"/>
        <w:szCs w:val="18"/>
      </w:rPr>
      <w:t>| Significant Plan Amendment a</w:t>
    </w:r>
    <w:r w:rsidRPr="009C4249">
      <w:rPr>
        <w:sz w:val="16"/>
        <w:szCs w:val="18"/>
      </w:rPr>
      <w:t xml:space="preserve">pplication template – </w:t>
    </w:r>
    <w:r>
      <w:rPr>
        <w:sz w:val="16"/>
        <w:szCs w:val="18"/>
      </w:rPr>
      <w:t>mix of provision proposed changes</w:t>
    </w:r>
  </w:p>
  <w:p w14:paraId="6E54197B" w14:textId="77777777" w:rsidR="00201E4D" w:rsidRDefault="00201E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B53F" w14:textId="77777777" w:rsidR="00126FE1" w:rsidRDefault="00126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571D5" w14:textId="77777777" w:rsidR="00852407" w:rsidRDefault="00852407" w:rsidP="00201E4D">
      <w:pPr>
        <w:spacing w:after="0" w:line="240" w:lineRule="auto"/>
      </w:pPr>
      <w:r>
        <w:separator/>
      </w:r>
    </w:p>
  </w:footnote>
  <w:footnote w:type="continuationSeparator" w:id="0">
    <w:p w14:paraId="68F46C6A" w14:textId="77777777" w:rsidR="00852407" w:rsidRDefault="00852407" w:rsidP="00201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4731" w14:textId="77777777" w:rsidR="00126FE1" w:rsidRDefault="00126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B724" w14:textId="77777777" w:rsidR="00126FE1" w:rsidRDefault="00126F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B571" w14:textId="31D56F32" w:rsidR="00323EE4" w:rsidRDefault="00323EE4">
    <w:pPr>
      <w:pStyle w:val="Header"/>
    </w:pPr>
    <w:r>
      <w:rPr>
        <w:noProof/>
      </w:rPr>
      <mc:AlternateContent>
        <mc:Choice Requires="wps">
          <w:drawing>
            <wp:anchor distT="0" distB="0" distL="114300" distR="114300" simplePos="0" relativeHeight="251660288" behindDoc="0" locked="0" layoutInCell="1" allowOverlap="1" wp14:anchorId="4FC58159" wp14:editId="77AFBCAA">
              <wp:simplePos x="0" y="0"/>
              <wp:positionH relativeFrom="column">
                <wp:posOffset>2286000</wp:posOffset>
              </wp:positionH>
              <wp:positionV relativeFrom="paragraph">
                <wp:posOffset>245745</wp:posOffset>
              </wp:positionV>
              <wp:extent cx="1828800" cy="1828800"/>
              <wp:effectExtent l="0" t="0" r="0" b="0"/>
              <wp:wrapSquare wrapText="bothSides"/>
              <wp:docPr id="199143385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B42B73F" w14:textId="3DA8B3F9" w:rsidR="00323EE4" w:rsidRPr="00323EE4" w:rsidRDefault="00323EE4" w:rsidP="00323EE4">
                          <w:pPr>
                            <w:pStyle w:val="Heading3"/>
                            <w:rPr>
                              <w:rFonts w:ascii="Georgia" w:hAnsi="Georgia"/>
                              <w:color w:val="FFFFFF" w:themeColor="background1"/>
                              <w:sz w:val="48"/>
                              <w:szCs w:val="48"/>
                            </w:rPr>
                          </w:pPr>
                          <w:r w:rsidRPr="00323EE4">
                            <w:rPr>
                              <w:rFonts w:ascii="Georgia" w:hAnsi="Georgia"/>
                              <w:color w:val="FFFFFF" w:themeColor="background1"/>
                              <w:sz w:val="48"/>
                              <w:szCs w:val="48"/>
                            </w:rPr>
                            <w:t>Mix of provision Significant Plan Amendment</w:t>
                          </w:r>
                        </w:p>
                        <w:p w14:paraId="21D1D05D" w14:textId="297CE533" w:rsidR="00323EE4" w:rsidRPr="004D2375" w:rsidRDefault="00323EE4" w:rsidP="00323EE4">
                          <w:pPr>
                            <w:pStyle w:val="Heading3"/>
                            <w:rPr>
                              <w:rFonts w:ascii="Georgia" w:hAnsi="Georgia"/>
                              <w:color w:val="FFFFFF" w:themeColor="background1"/>
                              <w:sz w:val="48"/>
                              <w:szCs w:val="48"/>
                            </w:rPr>
                          </w:pPr>
                          <w:r w:rsidRPr="004D2375">
                            <w:rPr>
                              <w:rFonts w:ascii="Georgia" w:hAnsi="Georgia"/>
                              <w:color w:val="FFFFFF" w:themeColor="background1"/>
                              <w:sz w:val="48"/>
                              <w:szCs w:val="48"/>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FC58159" id="_x0000_t202" coordsize="21600,21600" o:spt="202" path="m,l,21600r21600,l21600,xe">
              <v:stroke joinstyle="miter"/>
              <v:path gradientshapeok="t" o:connecttype="rect"/>
            </v:shapetype>
            <v:shape id="Text Box 1" o:spid="_x0000_s1026" type="#_x0000_t202" style="position:absolute;margin-left:180pt;margin-top:19.3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" filled="f" stroked="f" strokeweight=".5pt">
              <v:textbox style="mso-fit-shape-to-text:t">
                <w:txbxContent>
                  <w:p w14:paraId="5B42B73F" w14:textId="3DA8B3F9" w:rsidR="00323EE4" w:rsidRPr="00323EE4" w:rsidRDefault="00323EE4" w:rsidP="00323EE4">
                    <w:pPr>
                      <w:pStyle w:val="Heading3"/>
                      <w:rPr>
                        <w:rFonts w:ascii="Georgia" w:hAnsi="Georgia"/>
                        <w:color w:val="FFFFFF" w:themeColor="background1"/>
                        <w:sz w:val="48"/>
                        <w:szCs w:val="48"/>
                      </w:rPr>
                    </w:pPr>
                    <w:r w:rsidRPr="00323EE4">
                      <w:rPr>
                        <w:rFonts w:ascii="Georgia" w:hAnsi="Georgia"/>
                        <w:color w:val="FFFFFF" w:themeColor="background1"/>
                        <w:sz w:val="48"/>
                        <w:szCs w:val="48"/>
                      </w:rPr>
                      <w:t>Mix of provision Significant Plan Amendment</w:t>
                    </w:r>
                  </w:p>
                  <w:p w14:paraId="21D1D05D" w14:textId="297CE533" w:rsidR="00323EE4" w:rsidRPr="004D2375" w:rsidRDefault="00323EE4" w:rsidP="00323EE4">
                    <w:pPr>
                      <w:pStyle w:val="Heading3"/>
                      <w:rPr>
                        <w:rFonts w:ascii="Georgia" w:hAnsi="Georgia"/>
                        <w:color w:val="FFFFFF" w:themeColor="background1"/>
                        <w:sz w:val="48"/>
                        <w:szCs w:val="48"/>
                      </w:rPr>
                    </w:pPr>
                    <w:r w:rsidRPr="004D2375">
                      <w:rPr>
                        <w:rFonts w:ascii="Georgia" w:hAnsi="Georgia"/>
                        <w:color w:val="FFFFFF" w:themeColor="background1"/>
                        <w:sz w:val="48"/>
                        <w:szCs w:val="48"/>
                      </w:rPr>
                      <w:t xml:space="preserve"> </w:t>
                    </w:r>
                  </w:p>
                </w:txbxContent>
              </v:textbox>
              <w10:wrap type="square"/>
            </v:shape>
          </w:pict>
        </mc:Fallback>
      </mc:AlternateContent>
    </w:r>
    <w:r>
      <w:rPr>
        <w:noProof/>
      </w:rPr>
      <w:drawing>
        <wp:anchor distT="0" distB="0" distL="114300" distR="114300" simplePos="0" relativeHeight="251659264" behindDoc="0" locked="0" layoutInCell="1" allowOverlap="1" wp14:anchorId="0FA95BD4" wp14:editId="5DF0FCAF">
          <wp:simplePos x="0" y="0"/>
          <wp:positionH relativeFrom="page">
            <wp:posOffset>0</wp:posOffset>
          </wp:positionH>
          <wp:positionV relativeFrom="paragraph">
            <wp:posOffset>-451782</wp:posOffset>
          </wp:positionV>
          <wp:extent cx="10686415" cy="1933575"/>
          <wp:effectExtent l="0" t="0" r="635" b="0"/>
          <wp:wrapSquare wrapText="bothSides"/>
          <wp:docPr id="1313704349" name="Picture 2" descr="A yellow and black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704349" name="Picture 2" descr="A yellow and black rectangle with white text&#10;&#10;Description automatically generated"/>
                  <pic:cNvPicPr>
                    <a:picLocks noChangeAspect="1"/>
                  </pic:cNvPicPr>
                </pic:nvPicPr>
                <pic:blipFill rotWithShape="1">
                  <a:blip r:embed="rId1"/>
                  <a:srcRect b="74404"/>
                  <a:stretch/>
                </pic:blipFill>
                <pic:spPr bwMode="auto">
                  <a:xfrm>
                    <a:off x="0" y="0"/>
                    <a:ext cx="10686415" cy="1933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70A71"/>
    <w:multiLevelType w:val="hybridMultilevel"/>
    <w:tmpl w:val="6352ACE2"/>
    <w:lvl w:ilvl="0" w:tplc="2C2617EE">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D673E75"/>
    <w:multiLevelType w:val="hybridMultilevel"/>
    <w:tmpl w:val="4D284E00"/>
    <w:lvl w:ilvl="0" w:tplc="5512F9B2">
      <w:start w:val="1"/>
      <w:numFmt w:val="bullet"/>
      <w:lvlText w:val="›"/>
      <w:lvlJc w:val="left"/>
      <w:pPr>
        <w:ind w:left="720" w:hanging="360"/>
      </w:pPr>
      <w:rPr>
        <w:rFonts w:ascii="Calibri" w:hAnsi="Calibri" w:hint="default"/>
        <w:color w:val="51494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8351947">
    <w:abstractNumId w:val="0"/>
  </w:num>
  <w:num w:numId="2" w16cid:durableId="1444767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D"/>
    <w:rsid w:val="00061663"/>
    <w:rsid w:val="00126FE1"/>
    <w:rsid w:val="00175052"/>
    <w:rsid w:val="00201E4D"/>
    <w:rsid w:val="0032363D"/>
    <w:rsid w:val="00323EE4"/>
    <w:rsid w:val="004C33B5"/>
    <w:rsid w:val="006C6631"/>
    <w:rsid w:val="006D3ECF"/>
    <w:rsid w:val="007B223D"/>
    <w:rsid w:val="00852407"/>
    <w:rsid w:val="00A74442"/>
    <w:rsid w:val="00A84EB6"/>
    <w:rsid w:val="00AE2CB6"/>
    <w:rsid w:val="00D46B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4E6A8E"/>
  <w15:chartTrackingRefBased/>
  <w15:docId w15:val="{163C6AD0-8DED-494A-9267-641B03B2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E4D"/>
  </w:style>
  <w:style w:type="paragraph" w:styleId="Heading1">
    <w:name w:val="heading 1"/>
    <w:basedOn w:val="Normal"/>
    <w:next w:val="Normal"/>
    <w:link w:val="Heading1Char"/>
    <w:uiPriority w:val="9"/>
    <w:qFormat/>
    <w:rsid w:val="00201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1E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E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01E4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01E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1E4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1E4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1E4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01E4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E4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1E4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1E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1E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1E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1E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1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E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E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1E4D"/>
    <w:pPr>
      <w:spacing w:before="160"/>
      <w:jc w:val="center"/>
    </w:pPr>
    <w:rPr>
      <w:i/>
      <w:iCs/>
      <w:color w:val="404040" w:themeColor="text1" w:themeTint="BF"/>
    </w:rPr>
  </w:style>
  <w:style w:type="character" w:customStyle="1" w:styleId="QuoteChar">
    <w:name w:val="Quote Char"/>
    <w:basedOn w:val="DefaultParagraphFont"/>
    <w:link w:val="Quote"/>
    <w:uiPriority w:val="29"/>
    <w:rsid w:val="00201E4D"/>
    <w:rPr>
      <w:i/>
      <w:iCs/>
      <w:color w:val="404040" w:themeColor="text1" w:themeTint="BF"/>
    </w:rPr>
  </w:style>
  <w:style w:type="paragraph" w:styleId="ListParagraph">
    <w:name w:val="List Paragraph"/>
    <w:basedOn w:val="Normal"/>
    <w:uiPriority w:val="34"/>
    <w:qFormat/>
    <w:rsid w:val="00201E4D"/>
    <w:pPr>
      <w:ind w:left="720"/>
      <w:contextualSpacing/>
    </w:pPr>
  </w:style>
  <w:style w:type="character" w:styleId="IntenseEmphasis">
    <w:name w:val="Intense Emphasis"/>
    <w:basedOn w:val="DefaultParagraphFont"/>
    <w:uiPriority w:val="21"/>
    <w:qFormat/>
    <w:rsid w:val="00201E4D"/>
    <w:rPr>
      <w:i/>
      <w:iCs/>
      <w:color w:val="0F4761" w:themeColor="accent1" w:themeShade="BF"/>
    </w:rPr>
  </w:style>
  <w:style w:type="paragraph" w:styleId="IntenseQuote">
    <w:name w:val="Intense Quote"/>
    <w:basedOn w:val="Normal"/>
    <w:next w:val="Normal"/>
    <w:link w:val="IntenseQuoteChar"/>
    <w:uiPriority w:val="30"/>
    <w:qFormat/>
    <w:rsid w:val="00201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E4D"/>
    <w:rPr>
      <w:i/>
      <w:iCs/>
      <w:color w:val="0F4761" w:themeColor="accent1" w:themeShade="BF"/>
    </w:rPr>
  </w:style>
  <w:style w:type="character" w:styleId="IntenseReference">
    <w:name w:val="Intense Reference"/>
    <w:basedOn w:val="DefaultParagraphFont"/>
    <w:uiPriority w:val="32"/>
    <w:qFormat/>
    <w:rsid w:val="00201E4D"/>
    <w:rPr>
      <w:b/>
      <w:bCs/>
      <w:smallCaps/>
      <w:color w:val="0F4761" w:themeColor="accent1" w:themeShade="BF"/>
      <w:spacing w:val="5"/>
    </w:rPr>
  </w:style>
  <w:style w:type="paragraph" w:styleId="Header">
    <w:name w:val="header"/>
    <w:basedOn w:val="Normal"/>
    <w:link w:val="HeaderChar"/>
    <w:uiPriority w:val="99"/>
    <w:unhideWhenUsed/>
    <w:rsid w:val="00201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E4D"/>
  </w:style>
  <w:style w:type="paragraph" w:styleId="Footer">
    <w:name w:val="footer"/>
    <w:basedOn w:val="Normal"/>
    <w:link w:val="FooterChar"/>
    <w:uiPriority w:val="99"/>
    <w:unhideWhenUsed/>
    <w:rsid w:val="00201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E4D"/>
  </w:style>
  <w:style w:type="character" w:styleId="Hyperlink">
    <w:name w:val="Hyperlink"/>
    <w:basedOn w:val="DefaultParagraphFont"/>
    <w:uiPriority w:val="99"/>
    <w:unhideWhenUsed/>
    <w:rsid w:val="00201E4D"/>
    <w:rPr>
      <w:color w:val="467886" w:themeColor="hyperlink"/>
      <w:u w:val="single"/>
    </w:rPr>
  </w:style>
  <w:style w:type="character" w:styleId="CommentReference">
    <w:name w:val="annotation reference"/>
    <w:basedOn w:val="DefaultParagraphFont"/>
    <w:uiPriority w:val="99"/>
    <w:semiHidden/>
    <w:unhideWhenUsed/>
    <w:rsid w:val="00201E4D"/>
    <w:rPr>
      <w:sz w:val="16"/>
      <w:szCs w:val="16"/>
    </w:rPr>
  </w:style>
  <w:style w:type="paragraph" w:styleId="CommentText">
    <w:name w:val="annotation text"/>
    <w:basedOn w:val="Normal"/>
    <w:link w:val="CommentTextChar"/>
    <w:uiPriority w:val="99"/>
    <w:unhideWhenUsed/>
    <w:rsid w:val="00201E4D"/>
    <w:pPr>
      <w:spacing w:line="240" w:lineRule="auto"/>
    </w:pPr>
    <w:rPr>
      <w:sz w:val="20"/>
      <w:szCs w:val="20"/>
    </w:rPr>
  </w:style>
  <w:style w:type="character" w:customStyle="1" w:styleId="CommentTextChar">
    <w:name w:val="Comment Text Char"/>
    <w:basedOn w:val="DefaultParagraphFont"/>
    <w:link w:val="CommentText"/>
    <w:uiPriority w:val="99"/>
    <w:rsid w:val="00201E4D"/>
    <w:rPr>
      <w:sz w:val="20"/>
      <w:szCs w:val="20"/>
    </w:rPr>
  </w:style>
  <w:style w:type="table" w:styleId="TableGrid">
    <w:name w:val="Table Grid"/>
    <w:basedOn w:val="TableNormal"/>
    <w:uiPriority w:val="39"/>
    <w:rsid w:val="0020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ustomerservice@tec.govt.nz?subject=[EDUMIS%20%23]%20&#8211;%202026%20Significant%20Plan%20Amendment%20&#8211;%20MoP%20chang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f6ff3ca-fd37-48f8-bbb1-1ddf95be4f08" ContentTypeId="0x0101" PreviousValue="false" LastSyncTimeStamp="2024-08-21T01:39:28.427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bjectiveID xmlns="e11f7f2f-a6b0-4a78-a073-240d1281c360" xsi:nil="true"/>
    <_dlc_DocId xmlns="ee8615f7-574c-47af-92f5-ccd7aa3bd04a">IVSP-1257508556-6261</_dlc_DocId>
    <_dlc_DocIdUrl xmlns="ee8615f7-574c-47af-92f5-ccd7aa3bd04a">
      <Url>https://tecgovtnz.sharepoint.com/sites/DOC-Invest/_layouts/15/DocIdRedir.aspx?ID=IVSP-1257508556-6261</Url>
      <Description>IVSP-1257508556-6261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8665ABA8285B74695E6DFA878A615AA" ma:contentTypeVersion="9" ma:contentTypeDescription="Create a new document." ma:contentTypeScope="" ma:versionID="e1f6ef3b19715fd486b79ffa910927b4">
  <xsd:schema xmlns:xsd="http://www.w3.org/2001/XMLSchema" xmlns:xs="http://www.w3.org/2001/XMLSchema" xmlns:p="http://schemas.microsoft.com/office/2006/metadata/properties" xmlns:ns2="ee8615f7-574c-47af-92f5-ccd7aa3bd04a" xmlns:ns3="e11f7f2f-a6b0-4a78-a073-240d1281c360" targetNamespace="http://schemas.microsoft.com/office/2006/metadata/properties" ma:root="true" ma:fieldsID="4704b38bec9f722b5df428949ae75779" ns2:_="" ns3:_="">
    <xsd:import namespace="ee8615f7-574c-47af-92f5-ccd7aa3bd04a"/>
    <xsd:import namespace="e11f7f2f-a6b0-4a78-a073-240d1281c360"/>
    <xsd:element name="properties">
      <xsd:complexType>
        <xsd:sequence>
          <xsd:element name="documentManagement">
            <xsd:complexType>
              <xsd:all>
                <xsd:element ref="ns2:_dlc_DocId" minOccurs="0"/>
                <xsd:element ref="ns2:_dlc_DocIdUrl" minOccurs="0"/>
                <xsd:element ref="ns2:_dlc_DocIdPersistId" minOccurs="0"/>
                <xsd:element ref="ns3:Objective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615f7-574c-47af-92f5-ccd7aa3bd0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1f7f2f-a6b0-4a78-a073-240d1281c360" elementFormDefault="qualified">
    <xsd:import namespace="http://schemas.microsoft.com/office/2006/documentManagement/types"/>
    <xsd:import namespace="http://schemas.microsoft.com/office/infopath/2007/PartnerControls"/>
    <xsd:element name="ObjectiveID" ma:index="11" nillable="true" ma:displayName="Objective ID" ma:description="Objective ID site column" ma:internalName="Objective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8F0DA-FA1A-461F-A82F-65C697FDDFDD}">
  <ds:schemaRefs>
    <ds:schemaRef ds:uri="Microsoft.SharePoint.Taxonomy.ContentTypeSync"/>
  </ds:schemaRefs>
</ds:datastoreItem>
</file>

<file path=customXml/itemProps2.xml><?xml version="1.0" encoding="utf-8"?>
<ds:datastoreItem xmlns:ds="http://schemas.openxmlformats.org/officeDocument/2006/customXml" ds:itemID="{078518B9-F9EB-4892-8A1D-4BF737A933DF}">
  <ds:schemaRefs>
    <ds:schemaRef ds:uri="http://schemas.microsoft.com/sharepoint/events"/>
  </ds:schemaRefs>
</ds:datastoreItem>
</file>

<file path=customXml/itemProps3.xml><?xml version="1.0" encoding="utf-8"?>
<ds:datastoreItem xmlns:ds="http://schemas.openxmlformats.org/officeDocument/2006/customXml" ds:itemID="{E8B50D61-4DE6-4BC6-869E-C4ADCD85A434}">
  <ds:schemaRefs>
    <ds:schemaRef ds:uri="http://schemas.microsoft.com/sharepoint/v3/contenttype/forms"/>
  </ds:schemaRefs>
</ds:datastoreItem>
</file>

<file path=customXml/itemProps4.xml><?xml version="1.0" encoding="utf-8"?>
<ds:datastoreItem xmlns:ds="http://schemas.openxmlformats.org/officeDocument/2006/customXml" ds:itemID="{A0782FD9-750F-4FD0-89AA-6FEDB4E0C600}">
  <ds:schemaRefs>
    <ds:schemaRef ds:uri="http://www.w3.org/XML/1998/namespace"/>
    <ds:schemaRef ds:uri="http://purl.org/dc/terms/"/>
    <ds:schemaRef ds:uri="http://schemas.microsoft.com/office/2006/metadata/properties"/>
    <ds:schemaRef ds:uri="http://schemas.openxmlformats.org/package/2006/metadata/core-properties"/>
    <ds:schemaRef ds:uri="http://purl.org/dc/dcmitype/"/>
    <ds:schemaRef ds:uri="e11f7f2f-a6b0-4a78-a073-240d1281c360"/>
    <ds:schemaRef ds:uri="http://schemas.microsoft.com/office/2006/documentManagement/types"/>
    <ds:schemaRef ds:uri="http://schemas.microsoft.com/office/infopath/2007/PartnerControls"/>
    <ds:schemaRef ds:uri="ee8615f7-574c-47af-92f5-ccd7aa3bd04a"/>
    <ds:schemaRef ds:uri="http://purl.org/dc/elements/1.1/"/>
  </ds:schemaRefs>
</ds:datastoreItem>
</file>

<file path=customXml/itemProps5.xml><?xml version="1.0" encoding="utf-8"?>
<ds:datastoreItem xmlns:ds="http://schemas.openxmlformats.org/officeDocument/2006/customXml" ds:itemID="{4B88B0E3-C233-4511-AD6E-0933BAEB3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615f7-574c-47af-92f5-ccd7aa3bd04a"/>
    <ds:schemaRef ds:uri="e11f7f2f-a6b0-4a78-a073-240d1281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e4d407-812f-46ec-8e96-0358754f4085}" enabled="0" method="" siteId="{e8e4d407-812f-46ec-8e96-0358754f4085}"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1505</Characters>
  <DocSecurity>0</DocSecurity>
  <Lines>50</Lines>
  <Paragraphs>24</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Mix of provision Significant Plan Amendment</dc:title>
  <dc:subject/>
  <dc:creator>Tertiary Education Commission</dc:creator>
  <cp:keywords/>
  <dc:description/>
  <dcterms:created xsi:type="dcterms:W3CDTF">2026-02-03T21:35:00Z</dcterms:created>
  <dcterms:modified xsi:type="dcterms:W3CDTF">2026-02-03T21:35:00Z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0x010100A8665ABA8285B74695E6DFA878A615AA</vt:lpwstr>
  </property>
  <property fmtid="{D5CDD505-2E9C-101B-9397-08002B2CF9AE}" pid="3" name="_dlc_DocIdItemGuid">
    <vt:lpwstr>e6218678-c66e-45ff-bdbb-44e41a8a7982</vt:lpwstr>
  </property>
</Properties>
</file>