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3754" w14:textId="1CCC1F84" w:rsidR="006E2BBD" w:rsidRDefault="00F6509F" w:rsidP="006E2BBD">
      <w:pPr>
        <w:pStyle w:val="CM5"/>
        <w:spacing w:before="120" w:after="120"/>
        <w:rPr>
          <w:rFonts w:ascii="Georgia" w:eastAsia="Times New Roman" w:hAnsi="Georgia"/>
          <w:b/>
          <w:sz w:val="28"/>
          <w:szCs w:val="28"/>
          <w:lang w:val="en-GB"/>
        </w:rPr>
      </w:pPr>
      <w:r>
        <w:rPr>
          <w:rFonts w:ascii="Georgia" w:eastAsia="Times New Roman" w:hAnsi="Georgia"/>
          <w:b/>
          <w:sz w:val="28"/>
          <w:szCs w:val="28"/>
          <w:lang w:val="en-GB"/>
        </w:rPr>
        <w:t>Process for s</w:t>
      </w:r>
      <w:r w:rsidR="0039390C" w:rsidRPr="00917432">
        <w:rPr>
          <w:rFonts w:ascii="Georgia" w:eastAsia="Times New Roman" w:hAnsi="Georgia"/>
          <w:b/>
          <w:sz w:val="28"/>
          <w:szCs w:val="28"/>
          <w:lang w:val="en-GB"/>
        </w:rPr>
        <w:t xml:space="preserve">coring </w:t>
      </w:r>
      <w:r>
        <w:rPr>
          <w:rFonts w:ascii="Georgia" w:eastAsia="Times New Roman" w:hAnsi="Georgia"/>
          <w:b/>
          <w:sz w:val="28"/>
          <w:szCs w:val="28"/>
          <w:lang w:val="en-GB"/>
        </w:rPr>
        <w:t xml:space="preserve">the </w:t>
      </w:r>
      <w:r w:rsidR="0039390C" w:rsidRPr="00917432">
        <w:rPr>
          <w:rFonts w:ascii="Georgia" w:eastAsia="Times New Roman" w:hAnsi="Georgia"/>
          <w:b/>
          <w:sz w:val="28"/>
          <w:szCs w:val="28"/>
          <w:lang w:val="en-GB"/>
        </w:rPr>
        <w:t xml:space="preserve">financial </w:t>
      </w:r>
      <w:r>
        <w:rPr>
          <w:rFonts w:ascii="Georgia" w:eastAsia="Times New Roman" w:hAnsi="Georgia"/>
          <w:b/>
          <w:sz w:val="28"/>
          <w:szCs w:val="28"/>
          <w:lang w:val="en-GB"/>
        </w:rPr>
        <w:t>ratio</w:t>
      </w:r>
      <w:r w:rsidR="0039390C" w:rsidRPr="00917432">
        <w:rPr>
          <w:rFonts w:ascii="Georgia" w:eastAsia="Times New Roman" w:hAnsi="Georgia"/>
          <w:b/>
          <w:sz w:val="28"/>
          <w:szCs w:val="28"/>
          <w:lang w:val="en-GB"/>
        </w:rPr>
        <w:t>s</w:t>
      </w:r>
    </w:p>
    <w:p w14:paraId="41423854" w14:textId="77777777" w:rsidR="00802652" w:rsidRPr="00802652" w:rsidRDefault="00802652" w:rsidP="00802652">
      <w:pPr>
        <w:rPr>
          <w:lang w:val="en-GB" w:eastAsia="en-NZ"/>
        </w:rPr>
      </w:pPr>
    </w:p>
    <w:tbl>
      <w:tblPr>
        <w:tblStyle w:val="TableGrid1"/>
        <w:tblW w:w="14034" w:type="dxa"/>
        <w:tblInd w:w="-5" w:type="dxa"/>
        <w:tblLayout w:type="fixed"/>
        <w:tblLook w:val="04A0" w:firstRow="1" w:lastRow="0" w:firstColumn="1" w:lastColumn="0" w:noHBand="0" w:noVBand="1"/>
      </w:tblPr>
      <w:tblGrid>
        <w:gridCol w:w="426"/>
        <w:gridCol w:w="1743"/>
        <w:gridCol w:w="1375"/>
        <w:gridCol w:w="1418"/>
        <w:gridCol w:w="1417"/>
        <w:gridCol w:w="1418"/>
        <w:gridCol w:w="8"/>
        <w:gridCol w:w="1409"/>
        <w:gridCol w:w="4820"/>
      </w:tblGrid>
      <w:tr w:rsidR="00802652" w:rsidRPr="00F05381" w14:paraId="62328154" w14:textId="77777777" w:rsidTr="002159ED">
        <w:trPr>
          <w:trHeight w:val="196"/>
        </w:trPr>
        <w:tc>
          <w:tcPr>
            <w:tcW w:w="426" w:type="dxa"/>
            <w:tcBorders>
              <w:bottom w:val="nil"/>
            </w:tcBorders>
            <w:shd w:val="clear" w:color="auto" w:fill="55ACC7"/>
          </w:tcPr>
          <w:p w14:paraId="2477CBCE" w14:textId="77777777" w:rsidR="00802652" w:rsidRPr="00211953" w:rsidRDefault="00802652" w:rsidP="00375C0C">
            <w:pPr>
              <w:rPr>
                <w:rFonts w:cs="Arial"/>
                <w:b/>
                <w:color w:val="FFFFFF" w:themeColor="background1"/>
                <w:sz w:val="20"/>
                <w:szCs w:val="20"/>
              </w:rPr>
            </w:pPr>
          </w:p>
        </w:tc>
        <w:tc>
          <w:tcPr>
            <w:tcW w:w="1743" w:type="dxa"/>
            <w:tcBorders>
              <w:bottom w:val="nil"/>
            </w:tcBorders>
            <w:shd w:val="clear" w:color="auto" w:fill="55ACC7"/>
          </w:tcPr>
          <w:p w14:paraId="22D2623F"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Indicator</w:t>
            </w:r>
          </w:p>
        </w:tc>
        <w:tc>
          <w:tcPr>
            <w:tcW w:w="1375" w:type="dxa"/>
            <w:tcBorders>
              <w:bottom w:val="nil"/>
            </w:tcBorders>
            <w:shd w:val="clear" w:color="auto" w:fill="55ACC7"/>
          </w:tcPr>
          <w:p w14:paraId="7C0FDE81"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Strong</w:t>
            </w:r>
          </w:p>
        </w:tc>
        <w:tc>
          <w:tcPr>
            <w:tcW w:w="1418" w:type="dxa"/>
            <w:tcBorders>
              <w:bottom w:val="nil"/>
            </w:tcBorders>
            <w:shd w:val="clear" w:color="auto" w:fill="55ACC7"/>
          </w:tcPr>
          <w:p w14:paraId="07D7EFFB"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Adequate</w:t>
            </w:r>
          </w:p>
        </w:tc>
        <w:tc>
          <w:tcPr>
            <w:tcW w:w="1417" w:type="dxa"/>
            <w:tcBorders>
              <w:bottom w:val="nil"/>
            </w:tcBorders>
            <w:shd w:val="clear" w:color="auto" w:fill="55ACC7"/>
          </w:tcPr>
          <w:p w14:paraId="021E2011"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Poor</w:t>
            </w:r>
          </w:p>
        </w:tc>
        <w:tc>
          <w:tcPr>
            <w:tcW w:w="1418" w:type="dxa"/>
            <w:tcBorders>
              <w:bottom w:val="nil"/>
            </w:tcBorders>
            <w:shd w:val="clear" w:color="auto" w:fill="55ACC7"/>
          </w:tcPr>
          <w:p w14:paraId="58C0E246"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 xml:space="preserve">High risk </w:t>
            </w:r>
          </w:p>
        </w:tc>
        <w:tc>
          <w:tcPr>
            <w:tcW w:w="1417" w:type="dxa"/>
            <w:gridSpan w:val="2"/>
            <w:tcBorders>
              <w:bottom w:val="nil"/>
            </w:tcBorders>
            <w:shd w:val="clear" w:color="auto" w:fill="55ACC7"/>
          </w:tcPr>
          <w:p w14:paraId="7AB576D0"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Extreme risk</w:t>
            </w:r>
          </w:p>
        </w:tc>
        <w:tc>
          <w:tcPr>
            <w:tcW w:w="4820" w:type="dxa"/>
            <w:tcBorders>
              <w:bottom w:val="nil"/>
              <w:right w:val="nil"/>
            </w:tcBorders>
            <w:shd w:val="clear" w:color="auto" w:fill="55ACC7"/>
          </w:tcPr>
          <w:p w14:paraId="1E9C032C" w14:textId="77777777" w:rsidR="00802652" w:rsidRPr="00211953" w:rsidRDefault="00802652" w:rsidP="00375C0C">
            <w:pPr>
              <w:rPr>
                <w:rFonts w:cs="Arial"/>
                <w:b/>
                <w:color w:val="FFFFFF" w:themeColor="background1"/>
                <w:sz w:val="20"/>
                <w:szCs w:val="20"/>
              </w:rPr>
            </w:pPr>
            <w:r>
              <w:rPr>
                <w:rFonts w:cs="Arial"/>
                <w:b/>
                <w:color w:val="FFFFFF" w:themeColor="background1"/>
                <w:sz w:val="20"/>
                <w:szCs w:val="20"/>
              </w:rPr>
              <w:t>C</w:t>
            </w:r>
            <w:r w:rsidRPr="00211953">
              <w:rPr>
                <w:rFonts w:cs="Arial"/>
                <w:b/>
                <w:color w:val="FFFFFF" w:themeColor="background1"/>
                <w:sz w:val="20"/>
                <w:szCs w:val="20"/>
              </w:rPr>
              <w:t>omment</w:t>
            </w:r>
            <w:r>
              <w:rPr>
                <w:rFonts w:cs="Arial"/>
                <w:b/>
                <w:color w:val="FFFFFF" w:themeColor="background1"/>
                <w:sz w:val="20"/>
                <w:szCs w:val="20"/>
              </w:rPr>
              <w:t>s</w:t>
            </w:r>
          </w:p>
        </w:tc>
      </w:tr>
      <w:tr w:rsidR="00802652" w:rsidRPr="00F05381" w14:paraId="1A7D8C2A" w14:textId="77777777" w:rsidTr="002159ED">
        <w:trPr>
          <w:trHeight w:val="80"/>
        </w:trPr>
        <w:tc>
          <w:tcPr>
            <w:tcW w:w="426" w:type="dxa"/>
            <w:tcBorders>
              <w:top w:val="nil"/>
            </w:tcBorders>
            <w:shd w:val="clear" w:color="auto" w:fill="55ACC7"/>
          </w:tcPr>
          <w:p w14:paraId="46986542" w14:textId="77777777" w:rsidR="00802652" w:rsidRPr="00211953" w:rsidRDefault="00802652" w:rsidP="00375C0C">
            <w:pPr>
              <w:rPr>
                <w:rFonts w:cs="Arial"/>
                <w:b/>
                <w:color w:val="FFFFFF" w:themeColor="background1"/>
                <w:sz w:val="20"/>
                <w:szCs w:val="20"/>
              </w:rPr>
            </w:pPr>
          </w:p>
        </w:tc>
        <w:tc>
          <w:tcPr>
            <w:tcW w:w="1743" w:type="dxa"/>
            <w:tcBorders>
              <w:top w:val="nil"/>
            </w:tcBorders>
            <w:shd w:val="clear" w:color="auto" w:fill="55ACC7"/>
          </w:tcPr>
          <w:p w14:paraId="5F716479" w14:textId="77777777" w:rsidR="00802652" w:rsidRPr="00211953" w:rsidRDefault="00802652" w:rsidP="00375C0C">
            <w:pPr>
              <w:rPr>
                <w:rFonts w:cs="Arial"/>
                <w:b/>
                <w:color w:val="FFFFFF" w:themeColor="background1"/>
                <w:sz w:val="20"/>
                <w:szCs w:val="20"/>
              </w:rPr>
            </w:pPr>
          </w:p>
        </w:tc>
        <w:tc>
          <w:tcPr>
            <w:tcW w:w="1375" w:type="dxa"/>
            <w:tcBorders>
              <w:top w:val="nil"/>
            </w:tcBorders>
            <w:shd w:val="clear" w:color="auto" w:fill="55ACC7"/>
          </w:tcPr>
          <w:p w14:paraId="1C286B72"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(5 points)</w:t>
            </w:r>
          </w:p>
        </w:tc>
        <w:tc>
          <w:tcPr>
            <w:tcW w:w="1418" w:type="dxa"/>
            <w:tcBorders>
              <w:top w:val="nil"/>
            </w:tcBorders>
            <w:shd w:val="clear" w:color="auto" w:fill="55ACC7"/>
          </w:tcPr>
          <w:p w14:paraId="55AEC70F"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(3 points)</w:t>
            </w:r>
          </w:p>
        </w:tc>
        <w:tc>
          <w:tcPr>
            <w:tcW w:w="1417" w:type="dxa"/>
            <w:tcBorders>
              <w:top w:val="nil"/>
            </w:tcBorders>
            <w:shd w:val="clear" w:color="auto" w:fill="55ACC7"/>
          </w:tcPr>
          <w:p w14:paraId="2D1771B4"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(1 point)</w:t>
            </w:r>
          </w:p>
        </w:tc>
        <w:tc>
          <w:tcPr>
            <w:tcW w:w="1418" w:type="dxa"/>
            <w:tcBorders>
              <w:top w:val="nil"/>
            </w:tcBorders>
            <w:shd w:val="clear" w:color="auto" w:fill="55ACC7"/>
          </w:tcPr>
          <w:p w14:paraId="7771C567"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(-5 points)</w:t>
            </w:r>
          </w:p>
        </w:tc>
        <w:tc>
          <w:tcPr>
            <w:tcW w:w="1417" w:type="dxa"/>
            <w:gridSpan w:val="2"/>
            <w:tcBorders>
              <w:top w:val="nil"/>
            </w:tcBorders>
            <w:shd w:val="clear" w:color="auto" w:fill="55ACC7"/>
          </w:tcPr>
          <w:p w14:paraId="62AEF767" w14:textId="77777777" w:rsidR="00802652" w:rsidRPr="00211953" w:rsidRDefault="00802652" w:rsidP="00375C0C">
            <w:pPr>
              <w:rPr>
                <w:rFonts w:cs="Arial"/>
                <w:b/>
                <w:color w:val="FFFFFF" w:themeColor="background1"/>
                <w:sz w:val="20"/>
                <w:szCs w:val="20"/>
              </w:rPr>
            </w:pPr>
            <w:r w:rsidRPr="00211953">
              <w:rPr>
                <w:rFonts w:cs="Arial"/>
                <w:b/>
                <w:color w:val="FFFFFF" w:themeColor="background1"/>
                <w:sz w:val="20"/>
                <w:szCs w:val="20"/>
              </w:rPr>
              <w:t>(-10 points)</w:t>
            </w:r>
          </w:p>
        </w:tc>
        <w:tc>
          <w:tcPr>
            <w:tcW w:w="4820" w:type="dxa"/>
            <w:tcBorders>
              <w:top w:val="nil"/>
              <w:right w:val="nil"/>
            </w:tcBorders>
            <w:shd w:val="clear" w:color="auto" w:fill="55ACC7"/>
          </w:tcPr>
          <w:p w14:paraId="6D561557" w14:textId="77777777" w:rsidR="00802652" w:rsidRPr="00211953" w:rsidRDefault="00802652" w:rsidP="00375C0C">
            <w:pPr>
              <w:rPr>
                <w:rFonts w:cs="Arial"/>
                <w:b/>
                <w:color w:val="FFFFFF" w:themeColor="background1"/>
                <w:sz w:val="20"/>
                <w:szCs w:val="20"/>
              </w:rPr>
            </w:pPr>
          </w:p>
        </w:tc>
      </w:tr>
      <w:tr w:rsidR="00802652" w:rsidRPr="00C966A2" w14:paraId="3D64843A" w14:textId="77777777" w:rsidTr="002159ED">
        <w:trPr>
          <w:trHeight w:val="559"/>
        </w:trPr>
        <w:tc>
          <w:tcPr>
            <w:tcW w:w="426" w:type="dxa"/>
          </w:tcPr>
          <w:p w14:paraId="5D76EDEA" w14:textId="77777777" w:rsidR="00802652" w:rsidRPr="00C966A2" w:rsidRDefault="00802652" w:rsidP="00375C0C">
            <w:pPr>
              <w:rPr>
                <w:rFonts w:cs="Arial"/>
                <w:sz w:val="20"/>
                <w:szCs w:val="20"/>
              </w:rPr>
            </w:pPr>
            <w:r w:rsidRPr="00C966A2">
              <w:rPr>
                <w:rFonts w:cs="Arial"/>
                <w:sz w:val="20"/>
                <w:szCs w:val="20"/>
              </w:rPr>
              <w:t>1</w:t>
            </w:r>
          </w:p>
        </w:tc>
        <w:tc>
          <w:tcPr>
            <w:tcW w:w="1743" w:type="dxa"/>
          </w:tcPr>
          <w:p w14:paraId="36920EDD" w14:textId="77777777" w:rsidR="00067C1F" w:rsidRDefault="00802652" w:rsidP="00E46091">
            <w:pPr>
              <w:spacing w:line="240" w:lineRule="auto"/>
              <w:rPr>
                <w:rFonts w:cstheme="minorHAnsi"/>
                <w:sz w:val="20"/>
                <w:szCs w:val="20"/>
              </w:rPr>
            </w:pPr>
            <w:r w:rsidRPr="00E15C74">
              <w:rPr>
                <w:rFonts w:cstheme="minorHAnsi"/>
                <w:sz w:val="20"/>
                <w:szCs w:val="20"/>
              </w:rPr>
              <w:t xml:space="preserve">Net tangible assets </w:t>
            </w:r>
            <w:r>
              <w:rPr>
                <w:rFonts w:cstheme="minorHAnsi"/>
                <w:sz w:val="20"/>
                <w:szCs w:val="20"/>
              </w:rPr>
              <w:t xml:space="preserve">to total revenue </w:t>
            </w:r>
            <w:r w:rsidRPr="00E15C74">
              <w:rPr>
                <w:rFonts w:cstheme="minorHAnsi"/>
                <w:sz w:val="20"/>
                <w:szCs w:val="20"/>
              </w:rPr>
              <w:t>ratio</w:t>
            </w:r>
            <w:r>
              <w:rPr>
                <w:rFonts w:cstheme="minorHAnsi"/>
                <w:sz w:val="20"/>
                <w:szCs w:val="20"/>
              </w:rPr>
              <w:t xml:space="preserve"> </w:t>
            </w:r>
          </w:p>
          <w:p w14:paraId="1C50FA7F" w14:textId="77777777" w:rsidR="00802652" w:rsidRDefault="00802652" w:rsidP="00E46091">
            <w:pPr>
              <w:spacing w:line="240" w:lineRule="auto"/>
              <w:rPr>
                <w:rFonts w:cs="Arial"/>
                <w:i/>
                <w:sz w:val="20"/>
                <w:szCs w:val="20"/>
              </w:rPr>
            </w:pPr>
            <w:r w:rsidRPr="003F2683">
              <w:rPr>
                <w:rFonts w:cs="Arial"/>
                <w:i/>
                <w:sz w:val="20"/>
                <w:szCs w:val="20"/>
              </w:rPr>
              <w:t xml:space="preserve">Total equity </w:t>
            </w:r>
            <w:proofErr w:type="gramStart"/>
            <w:r w:rsidRPr="003F2683">
              <w:rPr>
                <w:rFonts w:cs="Arial"/>
                <w:i/>
                <w:sz w:val="20"/>
                <w:szCs w:val="20"/>
              </w:rPr>
              <w:t>less</w:t>
            </w:r>
            <w:proofErr w:type="gramEnd"/>
            <w:r w:rsidRPr="003F2683">
              <w:rPr>
                <w:rFonts w:cs="Arial"/>
                <w:i/>
                <w:sz w:val="20"/>
                <w:szCs w:val="20"/>
              </w:rPr>
              <w:t xml:space="preserve"> intangible assets</w:t>
            </w:r>
            <w:r>
              <w:rPr>
                <w:rFonts w:cs="Arial"/>
                <w:i/>
                <w:sz w:val="20"/>
                <w:szCs w:val="20"/>
              </w:rPr>
              <w:t>)</w:t>
            </w:r>
            <w:r w:rsidRPr="003F2683">
              <w:rPr>
                <w:rFonts w:cs="Arial"/>
                <w:i/>
                <w:sz w:val="20"/>
                <w:szCs w:val="20"/>
              </w:rPr>
              <w:t>/Total revenue</w:t>
            </w:r>
          </w:p>
          <w:p w14:paraId="69A6952E" w14:textId="77777777" w:rsidR="00802652" w:rsidRDefault="00802652" w:rsidP="00E46091">
            <w:pPr>
              <w:spacing w:after="200" w:line="240" w:lineRule="auto"/>
              <w:ind w:right="-66"/>
              <w:rPr>
                <w:rFonts w:cstheme="minorHAnsi"/>
                <w:b/>
                <w:sz w:val="20"/>
                <w:szCs w:val="20"/>
              </w:rPr>
            </w:pPr>
            <w:r>
              <w:rPr>
                <w:rFonts w:cstheme="minorHAnsi"/>
                <w:b/>
                <w:color w:val="FFFFFF" w:themeColor="background1"/>
                <w:sz w:val="20"/>
                <w:szCs w:val="20"/>
              </w:rPr>
              <w:t xml:space="preserve">Minimum </w:t>
            </w:r>
            <w:proofErr w:type="spellStart"/>
            <w:r w:rsidRPr="000F58B5">
              <w:rPr>
                <w:rFonts w:cstheme="minorHAnsi"/>
                <w:b/>
                <w:sz w:val="20"/>
                <w:szCs w:val="20"/>
              </w:rPr>
              <w:t>Minimum</w:t>
            </w:r>
            <w:proofErr w:type="spellEnd"/>
            <w:r>
              <w:rPr>
                <w:rFonts w:cstheme="minorHAnsi"/>
                <w:b/>
                <w:sz w:val="20"/>
                <w:szCs w:val="20"/>
              </w:rPr>
              <w:t xml:space="preserve"> </w:t>
            </w:r>
            <w:r w:rsidRPr="000F58B5">
              <w:rPr>
                <w:rFonts w:cstheme="minorHAnsi"/>
                <w:b/>
                <w:sz w:val="20"/>
                <w:szCs w:val="20"/>
              </w:rPr>
              <w:t>requirement</w:t>
            </w:r>
          </w:p>
          <w:p w14:paraId="36B5E4A5" w14:textId="4CAAE738" w:rsidR="00802652" w:rsidRPr="00A10006" w:rsidRDefault="00802652" w:rsidP="00E46091">
            <w:pPr>
              <w:spacing w:after="200" w:line="240" w:lineRule="auto"/>
              <w:ind w:right="-66"/>
              <w:rPr>
                <w:rFonts w:cs="Arial"/>
                <w:sz w:val="20"/>
                <w:szCs w:val="20"/>
                <w:lang w:val="en-AU" w:eastAsia="en-AU"/>
              </w:rPr>
            </w:pPr>
            <w:r w:rsidRPr="00727261">
              <w:rPr>
                <w:rFonts w:cstheme="minorHAnsi"/>
                <w:sz w:val="20"/>
                <w:szCs w:val="20"/>
              </w:rPr>
              <w:t xml:space="preserve">$50,000 </w:t>
            </w:r>
          </w:p>
        </w:tc>
        <w:tc>
          <w:tcPr>
            <w:tcW w:w="1375" w:type="dxa"/>
          </w:tcPr>
          <w:p w14:paraId="7B116D19" w14:textId="77777777" w:rsidR="00802652" w:rsidRPr="00C966A2" w:rsidRDefault="00802652" w:rsidP="00E46091">
            <w:pPr>
              <w:spacing w:line="240" w:lineRule="auto"/>
              <w:rPr>
                <w:rFonts w:cs="Arial"/>
                <w:sz w:val="20"/>
                <w:szCs w:val="20"/>
              </w:rPr>
            </w:pPr>
            <w:r w:rsidRPr="00C966A2">
              <w:rPr>
                <w:rFonts w:cs="Arial"/>
                <w:sz w:val="20"/>
                <w:szCs w:val="20"/>
              </w:rPr>
              <w:t xml:space="preserve">10%+ of </w:t>
            </w:r>
            <w:r>
              <w:rPr>
                <w:rFonts w:cs="Arial"/>
                <w:sz w:val="20"/>
                <w:szCs w:val="20"/>
              </w:rPr>
              <w:t>t</w:t>
            </w:r>
            <w:r w:rsidRPr="00C966A2">
              <w:rPr>
                <w:rFonts w:cs="Arial"/>
                <w:sz w:val="20"/>
                <w:szCs w:val="20"/>
              </w:rPr>
              <w:t xml:space="preserve">otal </w:t>
            </w:r>
            <w:r>
              <w:rPr>
                <w:rFonts w:cs="Arial"/>
                <w:sz w:val="20"/>
                <w:szCs w:val="20"/>
              </w:rPr>
              <w:t>r</w:t>
            </w:r>
            <w:r w:rsidRPr="00C966A2">
              <w:rPr>
                <w:rFonts w:cs="Arial"/>
                <w:sz w:val="20"/>
                <w:szCs w:val="20"/>
              </w:rPr>
              <w:t>evenue</w:t>
            </w:r>
          </w:p>
        </w:tc>
        <w:tc>
          <w:tcPr>
            <w:tcW w:w="1418" w:type="dxa"/>
          </w:tcPr>
          <w:p w14:paraId="66934C25" w14:textId="77777777" w:rsidR="00802652" w:rsidRPr="00C966A2" w:rsidRDefault="00802652" w:rsidP="00E46091">
            <w:pPr>
              <w:spacing w:line="240" w:lineRule="auto"/>
              <w:rPr>
                <w:rFonts w:cs="Arial"/>
                <w:sz w:val="20"/>
                <w:szCs w:val="20"/>
              </w:rPr>
            </w:pPr>
            <w:r w:rsidRPr="00C966A2">
              <w:rPr>
                <w:rFonts w:cs="Arial"/>
                <w:sz w:val="20"/>
                <w:szCs w:val="20"/>
              </w:rPr>
              <w:t xml:space="preserve">5% to </w:t>
            </w:r>
            <w:r>
              <w:rPr>
                <w:rFonts w:cs="Arial"/>
                <w:sz w:val="20"/>
                <w:szCs w:val="20"/>
              </w:rPr>
              <w:t xml:space="preserve">less than </w:t>
            </w:r>
            <w:r w:rsidRPr="00C966A2">
              <w:rPr>
                <w:rFonts w:cs="Arial"/>
                <w:sz w:val="20"/>
                <w:szCs w:val="20"/>
              </w:rPr>
              <w:t xml:space="preserve">10% of </w:t>
            </w:r>
            <w:r>
              <w:rPr>
                <w:rFonts w:cs="Arial"/>
                <w:sz w:val="20"/>
                <w:szCs w:val="20"/>
              </w:rPr>
              <w:t>t</w:t>
            </w:r>
            <w:r w:rsidRPr="00C966A2">
              <w:rPr>
                <w:rFonts w:cs="Arial"/>
                <w:sz w:val="20"/>
                <w:szCs w:val="20"/>
              </w:rPr>
              <w:t xml:space="preserve">otal </w:t>
            </w:r>
            <w:r>
              <w:rPr>
                <w:rFonts w:cs="Arial"/>
                <w:sz w:val="20"/>
                <w:szCs w:val="20"/>
              </w:rPr>
              <w:t>r</w:t>
            </w:r>
            <w:r w:rsidRPr="00C966A2">
              <w:rPr>
                <w:rFonts w:cs="Arial"/>
                <w:sz w:val="20"/>
                <w:szCs w:val="20"/>
              </w:rPr>
              <w:t>evenue</w:t>
            </w:r>
          </w:p>
        </w:tc>
        <w:tc>
          <w:tcPr>
            <w:tcW w:w="1417" w:type="dxa"/>
          </w:tcPr>
          <w:p w14:paraId="3BDD0F38" w14:textId="77777777" w:rsidR="00802652" w:rsidRPr="00C966A2" w:rsidRDefault="00802652" w:rsidP="00E46091">
            <w:pPr>
              <w:spacing w:line="240" w:lineRule="auto"/>
              <w:rPr>
                <w:rFonts w:cs="Arial"/>
                <w:sz w:val="20"/>
                <w:szCs w:val="20"/>
              </w:rPr>
            </w:pPr>
            <w:r w:rsidRPr="00C966A2">
              <w:rPr>
                <w:rFonts w:cs="Arial"/>
                <w:sz w:val="20"/>
                <w:szCs w:val="20"/>
              </w:rPr>
              <w:t>2%</w:t>
            </w:r>
            <w:r>
              <w:rPr>
                <w:rFonts w:cs="Arial"/>
                <w:sz w:val="20"/>
                <w:szCs w:val="20"/>
              </w:rPr>
              <w:t xml:space="preserve"> to less than </w:t>
            </w:r>
            <w:r w:rsidRPr="00C966A2">
              <w:rPr>
                <w:rFonts w:cs="Arial"/>
                <w:sz w:val="20"/>
                <w:szCs w:val="20"/>
              </w:rPr>
              <w:t xml:space="preserve">5% of </w:t>
            </w:r>
            <w:r>
              <w:rPr>
                <w:rFonts w:cs="Arial"/>
                <w:sz w:val="20"/>
                <w:szCs w:val="20"/>
              </w:rPr>
              <w:t>t</w:t>
            </w:r>
            <w:r w:rsidRPr="00C966A2">
              <w:rPr>
                <w:rFonts w:cs="Arial"/>
                <w:sz w:val="20"/>
                <w:szCs w:val="20"/>
              </w:rPr>
              <w:t xml:space="preserve">otal </w:t>
            </w:r>
            <w:r>
              <w:rPr>
                <w:rFonts w:cs="Arial"/>
                <w:sz w:val="20"/>
                <w:szCs w:val="20"/>
              </w:rPr>
              <w:t>r</w:t>
            </w:r>
            <w:r w:rsidRPr="00C966A2">
              <w:rPr>
                <w:rFonts w:cs="Arial"/>
                <w:sz w:val="20"/>
                <w:szCs w:val="20"/>
              </w:rPr>
              <w:t>evenue</w:t>
            </w:r>
          </w:p>
        </w:tc>
        <w:tc>
          <w:tcPr>
            <w:tcW w:w="1418" w:type="dxa"/>
          </w:tcPr>
          <w:p w14:paraId="2A9DA0C6" w14:textId="77777777" w:rsidR="00802652" w:rsidRPr="00C966A2" w:rsidRDefault="00802652" w:rsidP="00E46091">
            <w:pPr>
              <w:spacing w:line="240" w:lineRule="auto"/>
              <w:rPr>
                <w:rFonts w:cs="Arial"/>
                <w:sz w:val="20"/>
                <w:szCs w:val="20"/>
              </w:rPr>
            </w:pPr>
            <w:r>
              <w:rPr>
                <w:rFonts w:cs="Arial"/>
                <w:sz w:val="20"/>
                <w:szCs w:val="20"/>
              </w:rPr>
              <w:t>Less than</w:t>
            </w:r>
            <w:r w:rsidRPr="00C966A2">
              <w:rPr>
                <w:rFonts w:cs="Arial"/>
                <w:sz w:val="20"/>
                <w:szCs w:val="20"/>
              </w:rPr>
              <w:t xml:space="preserve"> $50,</w:t>
            </w:r>
            <w:r w:rsidRPr="00727261">
              <w:rPr>
                <w:rFonts w:cs="Arial"/>
                <w:sz w:val="20"/>
                <w:szCs w:val="20"/>
              </w:rPr>
              <w:t>000 or less than 2% of total revenue</w:t>
            </w:r>
          </w:p>
        </w:tc>
        <w:tc>
          <w:tcPr>
            <w:tcW w:w="1417" w:type="dxa"/>
            <w:gridSpan w:val="2"/>
          </w:tcPr>
          <w:p w14:paraId="7C2DA611" w14:textId="77777777" w:rsidR="00802652" w:rsidRPr="00C966A2" w:rsidRDefault="00802652" w:rsidP="00E46091">
            <w:pPr>
              <w:spacing w:line="240" w:lineRule="auto"/>
              <w:rPr>
                <w:rFonts w:cs="Arial"/>
                <w:sz w:val="20"/>
                <w:szCs w:val="20"/>
              </w:rPr>
            </w:pPr>
            <w:r w:rsidRPr="00C966A2">
              <w:rPr>
                <w:rFonts w:cs="Arial"/>
                <w:sz w:val="20"/>
                <w:szCs w:val="20"/>
              </w:rPr>
              <w:t>Zero or less</w:t>
            </w:r>
          </w:p>
        </w:tc>
        <w:tc>
          <w:tcPr>
            <w:tcW w:w="4820" w:type="dxa"/>
          </w:tcPr>
          <w:p w14:paraId="7E48C7B8" w14:textId="77777777" w:rsidR="00802652" w:rsidRPr="00392C1B" w:rsidRDefault="00802652" w:rsidP="00E46091">
            <w:pPr>
              <w:spacing w:line="240" w:lineRule="auto"/>
              <w:rPr>
                <w:rFonts w:cstheme="minorHAnsi"/>
                <w:sz w:val="20"/>
                <w:szCs w:val="20"/>
              </w:rPr>
            </w:pPr>
            <w:r w:rsidRPr="00392C1B">
              <w:rPr>
                <w:rFonts w:cstheme="minorHAnsi"/>
                <w:sz w:val="20"/>
                <w:szCs w:val="20"/>
              </w:rPr>
              <w:t xml:space="preserve">Shows the value owners invested in a PTE to meet initial costs and provide working capital. Equity provides businesses with an important source of interest free non-repayable finance, partial private funding of infrastructure, support for investment in programmes, and ability to weather any adverse changes in the operating environment and make new investment when opportunities arise. </w:t>
            </w:r>
            <w:r>
              <w:rPr>
                <w:rFonts w:cstheme="minorHAnsi"/>
                <w:sz w:val="20"/>
                <w:szCs w:val="20"/>
              </w:rPr>
              <w:t>Equity</w:t>
            </w:r>
            <w:r w:rsidRPr="00392C1B">
              <w:rPr>
                <w:rFonts w:cstheme="minorHAnsi"/>
                <w:sz w:val="20"/>
                <w:szCs w:val="20"/>
              </w:rPr>
              <w:t xml:space="preserve"> encourages owners to operate commercially and to make long-term investments</w:t>
            </w:r>
            <w:r>
              <w:rPr>
                <w:rFonts w:cstheme="minorHAnsi"/>
                <w:sz w:val="20"/>
                <w:szCs w:val="20"/>
              </w:rPr>
              <w:t>.</w:t>
            </w:r>
          </w:p>
          <w:p w14:paraId="4922CD43" w14:textId="25092152" w:rsidR="00802652" w:rsidRPr="00392C1B" w:rsidRDefault="00802652" w:rsidP="00E46091">
            <w:pPr>
              <w:spacing w:line="240" w:lineRule="auto"/>
              <w:rPr>
                <w:rFonts w:cstheme="minorHAnsi"/>
                <w:sz w:val="20"/>
                <w:szCs w:val="20"/>
              </w:rPr>
            </w:pPr>
            <w:r w:rsidRPr="00392C1B">
              <w:rPr>
                <w:rFonts w:cstheme="minorHAnsi"/>
                <w:sz w:val="20"/>
                <w:szCs w:val="20"/>
              </w:rPr>
              <w:t xml:space="preserve">As TEC funding may exceed a PTE’s own invested funds </w:t>
            </w:r>
            <w:r w:rsidR="00F96276">
              <w:rPr>
                <w:rFonts w:cstheme="minorHAnsi"/>
                <w:sz w:val="20"/>
                <w:szCs w:val="20"/>
              </w:rPr>
              <w:t>our</w:t>
            </w:r>
            <w:r w:rsidRPr="00392C1B">
              <w:rPr>
                <w:rFonts w:cstheme="minorHAnsi"/>
                <w:sz w:val="20"/>
                <w:szCs w:val="20"/>
              </w:rPr>
              <w:t xml:space="preserve"> minimum equity requirement </w:t>
            </w:r>
            <w:r w:rsidR="00F96276">
              <w:rPr>
                <w:rFonts w:cstheme="minorHAnsi"/>
                <w:sz w:val="20"/>
                <w:szCs w:val="20"/>
              </w:rPr>
              <w:t xml:space="preserve">of $50,000 </w:t>
            </w:r>
            <w:r w:rsidRPr="00392C1B">
              <w:rPr>
                <w:rFonts w:cstheme="minorHAnsi"/>
                <w:sz w:val="20"/>
                <w:szCs w:val="20"/>
              </w:rPr>
              <w:t>ensures providers have some “skin in the game”. Note:</w:t>
            </w:r>
          </w:p>
          <w:p w14:paraId="57296113" w14:textId="1F7CC25D" w:rsidR="00802652" w:rsidRPr="00392C1B" w:rsidRDefault="00802652" w:rsidP="00281364">
            <w:pPr>
              <w:pStyle w:val="ListParagraph"/>
              <w:numPr>
                <w:ilvl w:val="0"/>
                <w:numId w:val="2"/>
              </w:numPr>
              <w:spacing w:after="200" w:line="240" w:lineRule="auto"/>
              <w:ind w:left="317" w:hanging="254"/>
              <w:rPr>
                <w:rFonts w:cstheme="minorHAnsi"/>
                <w:sz w:val="20"/>
                <w:szCs w:val="20"/>
              </w:rPr>
            </w:pPr>
            <w:r w:rsidRPr="00392C1B">
              <w:rPr>
                <w:rFonts w:cstheme="minorHAnsi"/>
                <w:sz w:val="20"/>
                <w:szCs w:val="20"/>
              </w:rPr>
              <w:t xml:space="preserve">Total tangible assets are total assets </w:t>
            </w:r>
            <w:proofErr w:type="gramStart"/>
            <w:r w:rsidRPr="00392C1B">
              <w:rPr>
                <w:rFonts w:cstheme="minorHAnsi"/>
                <w:sz w:val="20"/>
                <w:szCs w:val="20"/>
              </w:rPr>
              <w:t>less</w:t>
            </w:r>
            <w:proofErr w:type="gramEnd"/>
            <w:r w:rsidRPr="00392C1B">
              <w:rPr>
                <w:rFonts w:cstheme="minorHAnsi"/>
                <w:sz w:val="20"/>
                <w:szCs w:val="20"/>
              </w:rPr>
              <w:t xml:space="preserve"> intangible assets (The ratio excludes </w:t>
            </w:r>
            <w:r w:rsidR="00D422E4" w:rsidRPr="00392C1B">
              <w:rPr>
                <w:rFonts w:cstheme="minorHAnsi"/>
                <w:sz w:val="20"/>
                <w:szCs w:val="20"/>
              </w:rPr>
              <w:t>nontangible</w:t>
            </w:r>
            <w:r w:rsidRPr="00392C1B">
              <w:rPr>
                <w:rFonts w:cstheme="minorHAnsi"/>
                <w:sz w:val="20"/>
                <w:szCs w:val="20"/>
              </w:rPr>
              <w:t xml:space="preserve"> assets such as Goodwill as th</w:t>
            </w:r>
            <w:r>
              <w:rPr>
                <w:rFonts w:cstheme="minorHAnsi"/>
                <w:sz w:val="20"/>
                <w:szCs w:val="20"/>
              </w:rPr>
              <w:t>e</w:t>
            </w:r>
            <w:r w:rsidRPr="00392C1B">
              <w:rPr>
                <w:rFonts w:cstheme="minorHAnsi"/>
                <w:sz w:val="20"/>
                <w:szCs w:val="20"/>
              </w:rPr>
              <w:t>s</w:t>
            </w:r>
            <w:r>
              <w:rPr>
                <w:rFonts w:cstheme="minorHAnsi"/>
                <w:sz w:val="20"/>
                <w:szCs w:val="20"/>
              </w:rPr>
              <w:t>e</w:t>
            </w:r>
            <w:r w:rsidRPr="00392C1B">
              <w:rPr>
                <w:rFonts w:cstheme="minorHAnsi"/>
                <w:sz w:val="20"/>
                <w:szCs w:val="20"/>
              </w:rPr>
              <w:t xml:space="preserve"> have no value in a windup situation)</w:t>
            </w:r>
          </w:p>
          <w:p w14:paraId="697DF8A8" w14:textId="77777777" w:rsidR="00797F33" w:rsidRPr="00392C1B" w:rsidRDefault="00797F33" w:rsidP="00281364">
            <w:pPr>
              <w:pStyle w:val="ListParagraph"/>
              <w:numPr>
                <w:ilvl w:val="0"/>
                <w:numId w:val="2"/>
              </w:numPr>
              <w:spacing w:after="200" w:line="240" w:lineRule="auto"/>
              <w:ind w:left="317" w:hanging="254"/>
              <w:rPr>
                <w:rFonts w:cstheme="minorHAnsi"/>
                <w:sz w:val="20"/>
                <w:szCs w:val="20"/>
              </w:rPr>
            </w:pPr>
            <w:r w:rsidRPr="00392C1B">
              <w:rPr>
                <w:rFonts w:cstheme="minorHAnsi"/>
                <w:sz w:val="20"/>
                <w:szCs w:val="20"/>
              </w:rPr>
              <w:t>”</w:t>
            </w:r>
            <w:r w:rsidR="00AB3352" w:rsidRPr="00392C1B">
              <w:rPr>
                <w:rFonts w:cstheme="minorHAnsi"/>
                <w:sz w:val="20"/>
                <w:szCs w:val="20"/>
              </w:rPr>
              <w:t>Pre</w:t>
            </w:r>
            <w:r w:rsidRPr="00392C1B">
              <w:rPr>
                <w:rFonts w:cstheme="minorHAnsi"/>
                <w:sz w:val="20"/>
                <w:szCs w:val="20"/>
              </w:rPr>
              <w:t xml:space="preserve">-paid fees” (student fees received in advance </w:t>
            </w:r>
            <w:r>
              <w:rPr>
                <w:rFonts w:cstheme="minorHAnsi"/>
                <w:sz w:val="20"/>
                <w:szCs w:val="20"/>
              </w:rPr>
              <w:t>usually shown as an offsetting Current asset and Current</w:t>
            </w:r>
            <w:r w:rsidRPr="00392C1B">
              <w:rPr>
                <w:rFonts w:cstheme="minorHAnsi"/>
                <w:sz w:val="20"/>
                <w:szCs w:val="20"/>
              </w:rPr>
              <w:t xml:space="preserve"> liability on a PTE’s Balance Sheet) are deducted from the denominator when calculating this ratio</w:t>
            </w:r>
          </w:p>
          <w:p w14:paraId="20B92E4F" w14:textId="77777777" w:rsidR="00802652" w:rsidRPr="00392C1B" w:rsidRDefault="00802652" w:rsidP="00281364">
            <w:pPr>
              <w:pStyle w:val="ListParagraph"/>
              <w:numPr>
                <w:ilvl w:val="0"/>
                <w:numId w:val="2"/>
              </w:numPr>
              <w:spacing w:after="200" w:line="240" w:lineRule="auto"/>
              <w:ind w:left="317" w:hanging="254"/>
              <w:rPr>
                <w:rFonts w:cstheme="minorHAnsi"/>
                <w:sz w:val="20"/>
                <w:szCs w:val="20"/>
              </w:rPr>
            </w:pPr>
            <w:r w:rsidRPr="00392C1B">
              <w:rPr>
                <w:rFonts w:cstheme="minorHAnsi"/>
                <w:sz w:val="20"/>
                <w:szCs w:val="20"/>
              </w:rPr>
              <w:t xml:space="preserve">Shareholder loan accounts are </w:t>
            </w:r>
            <w:r>
              <w:rPr>
                <w:rFonts w:cstheme="minorHAnsi"/>
                <w:sz w:val="20"/>
                <w:szCs w:val="20"/>
              </w:rPr>
              <w:t xml:space="preserve">not equity. They are </w:t>
            </w:r>
            <w:r w:rsidRPr="00392C1B">
              <w:rPr>
                <w:rFonts w:cstheme="minorHAnsi"/>
                <w:sz w:val="20"/>
                <w:szCs w:val="20"/>
              </w:rPr>
              <w:t>treated as debt/borrowing for th</w:t>
            </w:r>
            <w:r w:rsidR="00281364">
              <w:rPr>
                <w:rFonts w:cstheme="minorHAnsi"/>
                <w:sz w:val="20"/>
                <w:szCs w:val="20"/>
              </w:rPr>
              <w:t>e</w:t>
            </w:r>
            <w:r w:rsidRPr="00392C1B">
              <w:rPr>
                <w:rFonts w:cstheme="minorHAnsi"/>
                <w:sz w:val="20"/>
                <w:szCs w:val="20"/>
              </w:rPr>
              <w:t>s</w:t>
            </w:r>
            <w:r w:rsidR="00281364">
              <w:rPr>
                <w:rFonts w:cstheme="minorHAnsi"/>
                <w:sz w:val="20"/>
                <w:szCs w:val="20"/>
              </w:rPr>
              <w:t>e</w:t>
            </w:r>
            <w:r w:rsidRPr="00392C1B">
              <w:rPr>
                <w:rFonts w:cstheme="minorHAnsi"/>
                <w:sz w:val="20"/>
                <w:szCs w:val="20"/>
              </w:rPr>
              <w:t xml:space="preserve"> calculation</w:t>
            </w:r>
            <w:r w:rsidR="00281364">
              <w:rPr>
                <w:rFonts w:cstheme="minorHAnsi"/>
                <w:sz w:val="20"/>
                <w:szCs w:val="20"/>
              </w:rPr>
              <w:t>s</w:t>
            </w:r>
          </w:p>
          <w:p w14:paraId="5302A270" w14:textId="77777777" w:rsidR="00802652" w:rsidRPr="00392C1B" w:rsidRDefault="00802652" w:rsidP="00281364">
            <w:pPr>
              <w:pStyle w:val="ListParagraph"/>
              <w:numPr>
                <w:ilvl w:val="0"/>
                <w:numId w:val="2"/>
              </w:numPr>
              <w:spacing w:after="200" w:line="240" w:lineRule="auto"/>
              <w:ind w:left="317" w:hanging="254"/>
              <w:rPr>
                <w:rFonts w:cstheme="minorHAnsi"/>
                <w:sz w:val="20"/>
                <w:szCs w:val="20"/>
              </w:rPr>
            </w:pPr>
            <w:r w:rsidRPr="00392C1B">
              <w:rPr>
                <w:rFonts w:cstheme="minorHAnsi"/>
                <w:sz w:val="20"/>
                <w:szCs w:val="20"/>
              </w:rPr>
              <w:t xml:space="preserve">We expect </w:t>
            </w:r>
            <w:r>
              <w:rPr>
                <w:rFonts w:cstheme="minorHAnsi"/>
                <w:sz w:val="20"/>
                <w:szCs w:val="20"/>
              </w:rPr>
              <w:t>to</w:t>
            </w:r>
            <w:r w:rsidRPr="00392C1B">
              <w:rPr>
                <w:rFonts w:cstheme="minorHAnsi"/>
                <w:sz w:val="20"/>
                <w:szCs w:val="20"/>
              </w:rPr>
              <w:t xml:space="preserve"> deal with established businesses that can operate independent of shareholders.</w:t>
            </w:r>
          </w:p>
          <w:p w14:paraId="271E97CD" w14:textId="77777777" w:rsidR="00802652" w:rsidRPr="00392C1B" w:rsidRDefault="00802652" w:rsidP="00E46091">
            <w:pPr>
              <w:spacing w:line="240" w:lineRule="auto"/>
              <w:rPr>
                <w:rFonts w:cstheme="minorHAnsi"/>
                <w:sz w:val="20"/>
                <w:szCs w:val="20"/>
              </w:rPr>
            </w:pPr>
            <w:r w:rsidRPr="00392C1B">
              <w:rPr>
                <w:rFonts w:cstheme="minorHAnsi"/>
                <w:sz w:val="20"/>
                <w:szCs w:val="20"/>
              </w:rPr>
              <w:lastRenderedPageBreak/>
              <w:t xml:space="preserve">The specified </w:t>
            </w:r>
            <w:r w:rsidRPr="0028205D">
              <w:rPr>
                <w:rFonts w:cstheme="minorHAnsi"/>
                <w:b/>
                <w:sz w:val="20"/>
                <w:szCs w:val="20"/>
              </w:rPr>
              <w:t>Minimum requirement</w:t>
            </w:r>
            <w:r w:rsidRPr="00392C1B">
              <w:rPr>
                <w:rFonts w:cstheme="minorHAnsi"/>
                <w:sz w:val="20"/>
                <w:szCs w:val="20"/>
              </w:rPr>
              <w:t xml:space="preserve"> means a PTE can adapt to a small change in costs or revenue without the need for shareholder reinvestment or provider failure.</w:t>
            </w:r>
          </w:p>
          <w:p w14:paraId="5BB269A4" w14:textId="77777777" w:rsidR="00802652" w:rsidRPr="00392C1B" w:rsidRDefault="00802652" w:rsidP="00E46091">
            <w:pPr>
              <w:spacing w:line="240" w:lineRule="auto"/>
              <w:rPr>
                <w:rFonts w:cstheme="minorHAnsi"/>
                <w:sz w:val="20"/>
                <w:szCs w:val="20"/>
              </w:rPr>
            </w:pPr>
            <w:r w:rsidRPr="00392C1B">
              <w:rPr>
                <w:rFonts w:cstheme="minorHAnsi"/>
                <w:sz w:val="20"/>
                <w:szCs w:val="20"/>
              </w:rPr>
              <w:t>We expect PTEs to operate with sufficient positive equity to back operations. We have adopted the Australian Skills Quality Authority’s requirements for a 2% equity to total revenue ratio as a minimum requirement. Owners should consider their own equity investment needs and adopt an appropriate level of equity investment in their business.</w:t>
            </w:r>
          </w:p>
          <w:p w14:paraId="12D62C0C" w14:textId="51E767EE" w:rsidR="00802652" w:rsidRPr="003F2683" w:rsidRDefault="00802652" w:rsidP="00F96276">
            <w:pPr>
              <w:spacing w:line="240" w:lineRule="auto"/>
              <w:rPr>
                <w:rFonts w:cs="Arial"/>
                <w:i/>
                <w:sz w:val="20"/>
                <w:szCs w:val="20"/>
              </w:rPr>
            </w:pPr>
            <w:r w:rsidRPr="00392C1B">
              <w:rPr>
                <w:rFonts w:cstheme="minorHAnsi"/>
                <w:sz w:val="20"/>
                <w:szCs w:val="20"/>
              </w:rPr>
              <w:t>Negative net tangible assets indicate</w:t>
            </w:r>
            <w:r w:rsidR="00F6509F">
              <w:rPr>
                <w:rFonts w:cstheme="minorHAnsi"/>
                <w:sz w:val="20"/>
                <w:szCs w:val="20"/>
              </w:rPr>
              <w:t>s</w:t>
            </w:r>
            <w:r w:rsidRPr="00392C1B">
              <w:rPr>
                <w:rFonts w:cstheme="minorHAnsi"/>
                <w:sz w:val="20"/>
                <w:szCs w:val="20"/>
              </w:rPr>
              <w:t xml:space="preserve"> that i</w:t>
            </w:r>
            <w:r w:rsidR="00F6509F">
              <w:rPr>
                <w:rFonts w:cstheme="minorHAnsi"/>
                <w:sz w:val="20"/>
                <w:szCs w:val="20"/>
              </w:rPr>
              <w:t xml:space="preserve">f </w:t>
            </w:r>
            <w:r w:rsidRPr="00392C1B">
              <w:rPr>
                <w:rFonts w:cstheme="minorHAnsi"/>
                <w:sz w:val="20"/>
                <w:szCs w:val="20"/>
              </w:rPr>
              <w:t xml:space="preserve">liquidation or windup </w:t>
            </w:r>
            <w:r w:rsidR="00F6509F">
              <w:rPr>
                <w:rFonts w:cstheme="minorHAnsi"/>
                <w:sz w:val="20"/>
                <w:szCs w:val="20"/>
              </w:rPr>
              <w:t xml:space="preserve">occurs </w:t>
            </w:r>
            <w:r w:rsidRPr="00392C1B">
              <w:rPr>
                <w:rFonts w:cstheme="minorHAnsi"/>
                <w:sz w:val="20"/>
                <w:szCs w:val="20"/>
              </w:rPr>
              <w:t>an entity would not have sufficient saleable assets to cover its liabilities. In the event of provider failure we do not wish to incur any risks to students and to TEC funding.</w:t>
            </w:r>
          </w:p>
        </w:tc>
      </w:tr>
      <w:tr w:rsidR="00802652" w:rsidRPr="00C966A2" w14:paraId="27766451" w14:textId="77777777" w:rsidTr="00E46091">
        <w:trPr>
          <w:trHeight w:val="1266"/>
        </w:trPr>
        <w:tc>
          <w:tcPr>
            <w:tcW w:w="426" w:type="dxa"/>
          </w:tcPr>
          <w:p w14:paraId="543183EE" w14:textId="77777777" w:rsidR="00802652" w:rsidRPr="00C966A2" w:rsidRDefault="00802652" w:rsidP="00375C0C">
            <w:pPr>
              <w:rPr>
                <w:rFonts w:cs="Arial"/>
                <w:sz w:val="20"/>
                <w:szCs w:val="20"/>
              </w:rPr>
            </w:pPr>
            <w:r w:rsidRPr="00C966A2">
              <w:rPr>
                <w:rFonts w:cs="Arial"/>
                <w:sz w:val="20"/>
                <w:szCs w:val="20"/>
              </w:rPr>
              <w:lastRenderedPageBreak/>
              <w:t>2</w:t>
            </w:r>
          </w:p>
        </w:tc>
        <w:tc>
          <w:tcPr>
            <w:tcW w:w="1743" w:type="dxa"/>
          </w:tcPr>
          <w:p w14:paraId="0A9F19A8" w14:textId="77777777" w:rsidR="00067C1F" w:rsidRDefault="00802652" w:rsidP="00E46091">
            <w:pPr>
              <w:spacing w:after="200" w:line="240" w:lineRule="auto"/>
              <w:ind w:right="-66"/>
              <w:rPr>
                <w:rFonts w:cs="Arial"/>
                <w:sz w:val="20"/>
                <w:szCs w:val="20"/>
                <w:lang w:val="en-AU" w:eastAsia="en-AU"/>
              </w:rPr>
            </w:pPr>
            <w:r w:rsidRPr="00C966A2">
              <w:rPr>
                <w:rFonts w:cs="Arial"/>
                <w:sz w:val="20"/>
                <w:szCs w:val="20"/>
                <w:lang w:val="en-AU" w:eastAsia="en-AU"/>
              </w:rPr>
              <w:t>Liquid</w:t>
            </w:r>
            <w:r>
              <w:rPr>
                <w:rFonts w:cs="Arial"/>
                <w:sz w:val="20"/>
                <w:szCs w:val="20"/>
                <w:lang w:val="en-AU" w:eastAsia="en-AU"/>
              </w:rPr>
              <w:t xml:space="preserve"> assets ratio</w:t>
            </w:r>
          </w:p>
          <w:p w14:paraId="14A7ED7E" w14:textId="77777777" w:rsidR="00802652" w:rsidRDefault="00802652" w:rsidP="00E46091">
            <w:pPr>
              <w:spacing w:after="200" w:line="240" w:lineRule="auto"/>
              <w:ind w:right="-66"/>
              <w:rPr>
                <w:rFonts w:cstheme="minorHAnsi"/>
                <w:i/>
                <w:sz w:val="20"/>
                <w:szCs w:val="20"/>
              </w:rPr>
            </w:pPr>
            <w:r w:rsidRPr="00392C1B">
              <w:rPr>
                <w:rFonts w:cstheme="minorHAnsi"/>
                <w:i/>
                <w:sz w:val="20"/>
                <w:szCs w:val="20"/>
              </w:rPr>
              <w:t>Cash plus bank deposits plus readily liquefiable investments less bank overdrafts</w:t>
            </w:r>
            <w:r>
              <w:rPr>
                <w:rFonts w:cstheme="minorHAnsi"/>
                <w:i/>
                <w:sz w:val="20"/>
                <w:szCs w:val="20"/>
              </w:rPr>
              <w:t xml:space="preserve"> </w:t>
            </w:r>
            <w:r w:rsidRPr="00392C1B">
              <w:rPr>
                <w:rFonts w:cstheme="minorHAnsi"/>
                <w:i/>
                <w:sz w:val="20"/>
                <w:szCs w:val="20"/>
              </w:rPr>
              <w:t>/Annual cash outflow from operations</w:t>
            </w:r>
          </w:p>
          <w:p w14:paraId="094EBBBD" w14:textId="77777777" w:rsidR="00802652" w:rsidRDefault="00802652" w:rsidP="00E46091">
            <w:pPr>
              <w:spacing w:after="200" w:line="240" w:lineRule="auto"/>
              <w:ind w:right="-66"/>
              <w:rPr>
                <w:rFonts w:cstheme="minorHAnsi"/>
                <w:b/>
                <w:sz w:val="20"/>
                <w:szCs w:val="20"/>
              </w:rPr>
            </w:pPr>
            <w:r w:rsidRPr="000F58B5">
              <w:rPr>
                <w:rFonts w:cstheme="minorHAnsi"/>
                <w:b/>
                <w:sz w:val="20"/>
                <w:szCs w:val="20"/>
              </w:rPr>
              <w:t>Minimum requirement</w:t>
            </w:r>
          </w:p>
          <w:p w14:paraId="2C8507A5" w14:textId="77777777" w:rsidR="00802652" w:rsidRPr="00C966A2" w:rsidRDefault="00802652" w:rsidP="00E46091">
            <w:pPr>
              <w:spacing w:after="200" w:line="240" w:lineRule="auto"/>
              <w:ind w:right="-66"/>
              <w:rPr>
                <w:rFonts w:cs="Arial"/>
                <w:sz w:val="20"/>
                <w:szCs w:val="20"/>
                <w:lang w:val="en-AU" w:eastAsia="en-AU"/>
              </w:rPr>
            </w:pPr>
            <w:r w:rsidRPr="00392C1B">
              <w:rPr>
                <w:rFonts w:cstheme="minorHAnsi"/>
                <w:sz w:val="20"/>
                <w:szCs w:val="20"/>
              </w:rPr>
              <w:t>5%</w:t>
            </w:r>
          </w:p>
        </w:tc>
        <w:tc>
          <w:tcPr>
            <w:tcW w:w="1375" w:type="dxa"/>
          </w:tcPr>
          <w:p w14:paraId="06831172" w14:textId="77777777" w:rsidR="00802652" w:rsidRPr="00C966A2" w:rsidRDefault="00802652" w:rsidP="00E46091">
            <w:pPr>
              <w:spacing w:line="240" w:lineRule="auto"/>
              <w:rPr>
                <w:rFonts w:cs="Arial"/>
                <w:sz w:val="20"/>
                <w:szCs w:val="20"/>
              </w:rPr>
            </w:pPr>
            <w:r w:rsidRPr="00C966A2">
              <w:rPr>
                <w:rFonts w:cs="Arial"/>
                <w:sz w:val="20"/>
                <w:szCs w:val="20"/>
              </w:rPr>
              <w:t>16%+</w:t>
            </w:r>
          </w:p>
        </w:tc>
        <w:tc>
          <w:tcPr>
            <w:tcW w:w="1418" w:type="dxa"/>
          </w:tcPr>
          <w:p w14:paraId="6D410758" w14:textId="77777777" w:rsidR="00802652" w:rsidRPr="00C966A2" w:rsidRDefault="00802652" w:rsidP="00E46091">
            <w:pPr>
              <w:spacing w:line="240" w:lineRule="auto"/>
              <w:rPr>
                <w:rFonts w:cs="Arial"/>
                <w:sz w:val="20"/>
                <w:szCs w:val="20"/>
              </w:rPr>
            </w:pPr>
            <w:r w:rsidRPr="00C966A2">
              <w:rPr>
                <w:rFonts w:cs="Arial"/>
                <w:sz w:val="20"/>
                <w:szCs w:val="20"/>
              </w:rPr>
              <w:t>8%</w:t>
            </w:r>
            <w:r>
              <w:rPr>
                <w:rFonts w:cs="Arial"/>
                <w:sz w:val="20"/>
                <w:szCs w:val="20"/>
              </w:rPr>
              <w:t xml:space="preserve"> to less than 16%</w:t>
            </w:r>
          </w:p>
        </w:tc>
        <w:tc>
          <w:tcPr>
            <w:tcW w:w="1417" w:type="dxa"/>
          </w:tcPr>
          <w:p w14:paraId="72C3BF5D" w14:textId="77777777" w:rsidR="00802652" w:rsidRPr="00C966A2" w:rsidRDefault="00802652" w:rsidP="00E46091">
            <w:pPr>
              <w:spacing w:line="240" w:lineRule="auto"/>
              <w:rPr>
                <w:rFonts w:cs="Arial"/>
                <w:sz w:val="20"/>
                <w:szCs w:val="20"/>
              </w:rPr>
            </w:pPr>
            <w:r w:rsidRPr="00C966A2">
              <w:rPr>
                <w:rFonts w:cs="Arial"/>
                <w:sz w:val="20"/>
                <w:szCs w:val="20"/>
              </w:rPr>
              <w:t xml:space="preserve">5% to </w:t>
            </w:r>
            <w:r>
              <w:rPr>
                <w:rFonts w:cs="Arial"/>
                <w:sz w:val="20"/>
                <w:szCs w:val="20"/>
              </w:rPr>
              <w:t xml:space="preserve">less than </w:t>
            </w:r>
            <w:r w:rsidRPr="00C966A2">
              <w:rPr>
                <w:rFonts w:cs="Arial"/>
                <w:sz w:val="20"/>
                <w:szCs w:val="20"/>
              </w:rPr>
              <w:t>8%</w:t>
            </w:r>
          </w:p>
        </w:tc>
        <w:tc>
          <w:tcPr>
            <w:tcW w:w="1418" w:type="dxa"/>
          </w:tcPr>
          <w:p w14:paraId="5A91517D" w14:textId="77777777" w:rsidR="00802652" w:rsidRPr="00C966A2" w:rsidRDefault="00802652" w:rsidP="00E46091">
            <w:pPr>
              <w:spacing w:line="240" w:lineRule="auto"/>
              <w:rPr>
                <w:rFonts w:cs="Arial"/>
                <w:sz w:val="20"/>
                <w:szCs w:val="20"/>
              </w:rPr>
            </w:pPr>
            <w:r w:rsidRPr="00C966A2">
              <w:rPr>
                <w:rFonts w:cs="Arial"/>
                <w:sz w:val="20"/>
                <w:szCs w:val="20"/>
              </w:rPr>
              <w:t>Less than 5%</w:t>
            </w:r>
          </w:p>
        </w:tc>
        <w:tc>
          <w:tcPr>
            <w:tcW w:w="1417" w:type="dxa"/>
            <w:gridSpan w:val="2"/>
          </w:tcPr>
          <w:p w14:paraId="13F0083F" w14:textId="77777777" w:rsidR="00802652" w:rsidRPr="00C966A2" w:rsidRDefault="00802652" w:rsidP="00E46091">
            <w:pPr>
              <w:spacing w:line="240" w:lineRule="auto"/>
              <w:rPr>
                <w:rFonts w:cs="Arial"/>
                <w:sz w:val="20"/>
                <w:szCs w:val="20"/>
              </w:rPr>
            </w:pPr>
            <w:r w:rsidRPr="00C966A2">
              <w:rPr>
                <w:rFonts w:cs="Arial"/>
                <w:sz w:val="20"/>
                <w:szCs w:val="20"/>
              </w:rPr>
              <w:t>Zero or negative</w:t>
            </w:r>
          </w:p>
        </w:tc>
        <w:tc>
          <w:tcPr>
            <w:tcW w:w="4820" w:type="dxa"/>
          </w:tcPr>
          <w:p w14:paraId="7A791893" w14:textId="77777777" w:rsidR="00802652" w:rsidRPr="00392C1B" w:rsidRDefault="00802652" w:rsidP="00E46091">
            <w:pPr>
              <w:spacing w:line="240" w:lineRule="auto"/>
              <w:rPr>
                <w:rFonts w:cstheme="minorHAnsi"/>
                <w:sz w:val="20"/>
                <w:szCs w:val="20"/>
              </w:rPr>
            </w:pPr>
            <w:r w:rsidRPr="00392C1B">
              <w:rPr>
                <w:rFonts w:cstheme="minorHAnsi"/>
                <w:sz w:val="20"/>
                <w:szCs w:val="20"/>
              </w:rPr>
              <w:t xml:space="preserve">Measures liquidity and solvency. It looks at a PTE’s ability to meet annual cash operating expenses from readily available liquid assets. PTEs need to hold liquid reserves to mitigate risk and uncertainty or have liquidity facilities from their bank. Negative cash resources indicates insolvency </w:t>
            </w:r>
            <w:r>
              <w:rPr>
                <w:rFonts w:cstheme="minorHAnsi"/>
                <w:sz w:val="20"/>
                <w:szCs w:val="20"/>
              </w:rPr>
              <w:t>problems. Liquid assets include</w:t>
            </w:r>
          </w:p>
          <w:p w14:paraId="12B0A861" w14:textId="77777777" w:rsidR="00802652" w:rsidRPr="00392C1B" w:rsidRDefault="00802652" w:rsidP="00281364">
            <w:pPr>
              <w:pStyle w:val="ListParagraph"/>
              <w:numPr>
                <w:ilvl w:val="0"/>
                <w:numId w:val="2"/>
              </w:numPr>
              <w:spacing w:after="200" w:line="240" w:lineRule="auto"/>
              <w:ind w:left="317" w:hanging="254"/>
              <w:rPr>
                <w:rFonts w:cstheme="minorHAnsi"/>
                <w:sz w:val="20"/>
                <w:szCs w:val="20"/>
              </w:rPr>
            </w:pPr>
            <w:r w:rsidRPr="00392C1B">
              <w:rPr>
                <w:rFonts w:cstheme="minorHAnsi"/>
                <w:sz w:val="20"/>
                <w:szCs w:val="20"/>
              </w:rPr>
              <w:t xml:space="preserve">Cash on hand, bank deposits, short and long term investments that are readily liquefiable and can be turned into cash </w:t>
            </w:r>
            <w:r>
              <w:rPr>
                <w:rFonts w:cstheme="minorHAnsi"/>
                <w:sz w:val="20"/>
                <w:szCs w:val="20"/>
              </w:rPr>
              <w:t xml:space="preserve">within 90 days </w:t>
            </w:r>
            <w:r w:rsidRPr="00392C1B">
              <w:rPr>
                <w:rFonts w:cstheme="minorHAnsi"/>
                <w:sz w:val="20"/>
                <w:szCs w:val="20"/>
              </w:rPr>
              <w:t>without impacting operations, less bank overdrafts</w:t>
            </w:r>
          </w:p>
          <w:p w14:paraId="1E385726" w14:textId="77777777" w:rsidR="00802652" w:rsidRPr="00392C1B" w:rsidRDefault="00802652" w:rsidP="00281364">
            <w:pPr>
              <w:pStyle w:val="ListParagraph"/>
              <w:numPr>
                <w:ilvl w:val="0"/>
                <w:numId w:val="2"/>
              </w:numPr>
              <w:spacing w:after="200" w:line="240" w:lineRule="auto"/>
              <w:ind w:left="317" w:hanging="254"/>
              <w:rPr>
                <w:rFonts w:cstheme="minorHAnsi"/>
                <w:sz w:val="20"/>
                <w:szCs w:val="20"/>
              </w:rPr>
            </w:pPr>
            <w:r w:rsidRPr="00392C1B">
              <w:rPr>
                <w:rFonts w:cstheme="minorHAnsi"/>
                <w:sz w:val="20"/>
                <w:szCs w:val="20"/>
              </w:rPr>
              <w:t>The unused portion of committed bank borrowing facilities with a term to run greater than one year to bolster liquidity, when noted in the financial statements or with our written approval. The liquidity of some short term investments may need to be assessed</w:t>
            </w:r>
          </w:p>
          <w:p w14:paraId="72741256" w14:textId="2E87EF50" w:rsidR="00802652" w:rsidRPr="00392C1B" w:rsidRDefault="00802652" w:rsidP="00281364">
            <w:pPr>
              <w:pStyle w:val="ListParagraph"/>
              <w:numPr>
                <w:ilvl w:val="0"/>
                <w:numId w:val="2"/>
              </w:numPr>
              <w:spacing w:after="200" w:line="240" w:lineRule="auto"/>
              <w:ind w:left="317" w:hanging="254"/>
              <w:rPr>
                <w:rFonts w:cstheme="minorHAnsi"/>
                <w:sz w:val="20"/>
                <w:szCs w:val="20"/>
              </w:rPr>
            </w:pPr>
            <w:r w:rsidRPr="00392C1B">
              <w:rPr>
                <w:rFonts w:cstheme="minorHAnsi"/>
                <w:sz w:val="20"/>
                <w:szCs w:val="20"/>
              </w:rPr>
              <w:t>Lending to related entities within a Group, with our written approval, where we are satisfied the Group manages the resources of its entities through a central treasury and the amount deposited with related parties is repayable on demand, the related entities are financially viable, and the Group has sufficient funds to repay the PTE within 90 days and these can be used to repay the debt.</w:t>
            </w:r>
          </w:p>
          <w:p w14:paraId="69F05CA9" w14:textId="77777777" w:rsidR="00802652" w:rsidRDefault="00802652" w:rsidP="00E46091">
            <w:pPr>
              <w:spacing w:line="240" w:lineRule="auto"/>
              <w:rPr>
                <w:rFonts w:cstheme="minorHAnsi"/>
                <w:sz w:val="20"/>
                <w:szCs w:val="20"/>
              </w:rPr>
            </w:pPr>
            <w:r w:rsidRPr="00392C1B">
              <w:rPr>
                <w:rFonts w:cstheme="minorHAnsi"/>
                <w:sz w:val="20"/>
                <w:szCs w:val="20"/>
              </w:rPr>
              <w:t>Excludes student fees held under a trust deed (as these are generally an asset of the trustee, not the PTE, and are not available until earned), receivables and prepayments, and deposits or investments, where there are restrictions around the PTE’s use.</w:t>
            </w:r>
          </w:p>
          <w:p w14:paraId="451F9D21" w14:textId="77777777" w:rsidR="00802652" w:rsidRDefault="00802652" w:rsidP="00E46091">
            <w:pPr>
              <w:spacing w:line="240" w:lineRule="auto"/>
              <w:rPr>
                <w:rFonts w:cstheme="minorHAnsi"/>
                <w:sz w:val="20"/>
                <w:szCs w:val="20"/>
              </w:rPr>
            </w:pPr>
            <w:r w:rsidRPr="00392C1B">
              <w:rPr>
                <w:rFonts w:cstheme="minorHAnsi"/>
                <w:sz w:val="20"/>
                <w:szCs w:val="20"/>
              </w:rPr>
              <w:t>The appropriate level of liquidity a PTE should hold depends upon such factors as the level of surplus, the variability in earnings year-on year, the strength of the cash flow generating capability, and the level of uncertainty in the operating environment.</w:t>
            </w:r>
            <w:r>
              <w:rPr>
                <w:rFonts w:cstheme="minorHAnsi"/>
                <w:sz w:val="20"/>
                <w:szCs w:val="20"/>
              </w:rPr>
              <w:t xml:space="preserve"> </w:t>
            </w:r>
            <w:r w:rsidRPr="00392C1B">
              <w:rPr>
                <w:rFonts w:cstheme="minorHAnsi"/>
                <w:sz w:val="20"/>
                <w:szCs w:val="20"/>
              </w:rPr>
              <w:t>A common sector benchmark is to hold one month’s cash cover (i.e. 8% of annual</w:t>
            </w:r>
            <w:r>
              <w:rPr>
                <w:rFonts w:cstheme="minorHAnsi"/>
                <w:sz w:val="20"/>
                <w:szCs w:val="20"/>
              </w:rPr>
              <w:t xml:space="preserve"> cash outflow from operations).</w:t>
            </w:r>
          </w:p>
          <w:p w14:paraId="68DBDDBE" w14:textId="77777777" w:rsidR="00802652" w:rsidRDefault="00802652" w:rsidP="00E46091">
            <w:pPr>
              <w:spacing w:line="240" w:lineRule="auto"/>
              <w:rPr>
                <w:rFonts w:cstheme="minorHAnsi"/>
                <w:sz w:val="20"/>
                <w:szCs w:val="20"/>
              </w:rPr>
            </w:pPr>
            <w:r w:rsidRPr="00392C1B">
              <w:rPr>
                <w:rFonts w:cstheme="minorHAnsi"/>
                <w:sz w:val="20"/>
                <w:szCs w:val="20"/>
              </w:rPr>
              <w:t xml:space="preserve">The specified </w:t>
            </w:r>
            <w:r w:rsidRPr="0028205D">
              <w:rPr>
                <w:rFonts w:cstheme="minorHAnsi"/>
                <w:b/>
                <w:sz w:val="20"/>
                <w:szCs w:val="20"/>
              </w:rPr>
              <w:t>Minimum requirement</w:t>
            </w:r>
            <w:r w:rsidRPr="00392C1B">
              <w:rPr>
                <w:rFonts w:cstheme="minorHAnsi"/>
                <w:sz w:val="20"/>
                <w:szCs w:val="20"/>
              </w:rPr>
              <w:t xml:space="preserve"> means income or expenses can deviate from plan by up to 5% without an adverse impact on solvency. The higher the ratio, the higher the buffer available to meet unexpected changes in the </w:t>
            </w:r>
            <w:r w:rsidR="00FE0971">
              <w:rPr>
                <w:rFonts w:cstheme="minorHAnsi"/>
                <w:sz w:val="20"/>
                <w:szCs w:val="20"/>
              </w:rPr>
              <w:t>o</w:t>
            </w:r>
            <w:r w:rsidRPr="00392C1B">
              <w:rPr>
                <w:rFonts w:cstheme="minorHAnsi"/>
                <w:sz w:val="20"/>
                <w:szCs w:val="20"/>
              </w:rPr>
              <w:t>perating environment.</w:t>
            </w:r>
          </w:p>
          <w:p w14:paraId="55D6AB4C" w14:textId="77777777" w:rsidR="00802652" w:rsidRPr="00917432" w:rsidRDefault="00802652" w:rsidP="00E46091">
            <w:pPr>
              <w:spacing w:line="240" w:lineRule="auto"/>
              <w:rPr>
                <w:rFonts w:cs="Arial"/>
                <w:i/>
                <w:sz w:val="20"/>
                <w:szCs w:val="20"/>
              </w:rPr>
            </w:pPr>
            <w:r w:rsidRPr="00392C1B">
              <w:rPr>
                <w:rFonts w:cstheme="minorHAnsi"/>
                <w:sz w:val="20"/>
                <w:szCs w:val="20"/>
              </w:rPr>
              <w:t>Where a PTE does not produce a Statement of Cash Flows with its financial statements, we calculate the annual cash outflow from operations from the cash expenses shown in its Statement of Financial Performance.</w:t>
            </w:r>
          </w:p>
        </w:tc>
      </w:tr>
      <w:tr w:rsidR="00802652" w:rsidRPr="00C966A2" w14:paraId="51D72CEC" w14:textId="77777777" w:rsidTr="002159ED">
        <w:trPr>
          <w:trHeight w:val="5245"/>
        </w:trPr>
        <w:tc>
          <w:tcPr>
            <w:tcW w:w="426" w:type="dxa"/>
          </w:tcPr>
          <w:p w14:paraId="03F34BE0" w14:textId="77777777" w:rsidR="00802652" w:rsidRPr="00C966A2" w:rsidRDefault="00802652" w:rsidP="00C92987">
            <w:pPr>
              <w:spacing w:line="240" w:lineRule="auto"/>
              <w:rPr>
                <w:rFonts w:cs="Arial"/>
                <w:sz w:val="20"/>
                <w:szCs w:val="20"/>
              </w:rPr>
            </w:pPr>
            <w:r w:rsidRPr="00C966A2">
              <w:rPr>
                <w:rFonts w:cs="Arial"/>
                <w:sz w:val="20"/>
                <w:szCs w:val="20"/>
              </w:rPr>
              <w:t>3</w:t>
            </w:r>
          </w:p>
        </w:tc>
        <w:tc>
          <w:tcPr>
            <w:tcW w:w="1743" w:type="dxa"/>
          </w:tcPr>
          <w:p w14:paraId="27B278B0" w14:textId="77777777" w:rsidR="00067C1F" w:rsidRDefault="00802652" w:rsidP="00C92987">
            <w:pPr>
              <w:spacing w:after="200" w:line="240" w:lineRule="auto"/>
              <w:rPr>
                <w:rFonts w:cs="Arial"/>
                <w:sz w:val="20"/>
                <w:szCs w:val="20"/>
                <w:lang w:val="en-AU" w:eastAsia="en-AU"/>
              </w:rPr>
            </w:pPr>
            <w:r>
              <w:rPr>
                <w:rFonts w:cs="Arial"/>
                <w:sz w:val="20"/>
                <w:szCs w:val="20"/>
                <w:lang w:val="en-AU" w:eastAsia="en-AU"/>
              </w:rPr>
              <w:t xml:space="preserve">Current ratio </w:t>
            </w:r>
          </w:p>
          <w:p w14:paraId="04CCC724" w14:textId="77777777" w:rsidR="00802652" w:rsidRDefault="00802652" w:rsidP="00C92987">
            <w:pPr>
              <w:spacing w:after="200" w:line="240" w:lineRule="auto"/>
              <w:rPr>
                <w:rFonts w:cs="Arial"/>
                <w:i/>
                <w:sz w:val="20"/>
                <w:szCs w:val="20"/>
              </w:rPr>
            </w:pPr>
            <w:r w:rsidRPr="003F2683">
              <w:rPr>
                <w:rFonts w:cs="Arial"/>
                <w:i/>
                <w:sz w:val="20"/>
                <w:szCs w:val="20"/>
              </w:rPr>
              <w:t>Current assets/Current liabil</w:t>
            </w:r>
            <w:r>
              <w:rPr>
                <w:rFonts w:cs="Arial"/>
                <w:i/>
                <w:sz w:val="20"/>
                <w:szCs w:val="20"/>
              </w:rPr>
              <w:t>ities</w:t>
            </w:r>
          </w:p>
          <w:p w14:paraId="3F006354" w14:textId="77777777" w:rsidR="00802652" w:rsidRDefault="00802652" w:rsidP="00C92987">
            <w:pPr>
              <w:spacing w:after="200" w:line="240" w:lineRule="auto"/>
              <w:ind w:right="-66"/>
              <w:rPr>
                <w:rFonts w:cstheme="minorHAnsi"/>
                <w:b/>
                <w:sz w:val="20"/>
                <w:szCs w:val="20"/>
              </w:rPr>
            </w:pPr>
            <w:r w:rsidRPr="000F58B5">
              <w:rPr>
                <w:rFonts w:cstheme="minorHAnsi"/>
                <w:b/>
                <w:sz w:val="20"/>
                <w:szCs w:val="20"/>
              </w:rPr>
              <w:t>Minimum requirement</w:t>
            </w:r>
          </w:p>
          <w:p w14:paraId="0CEF70A6" w14:textId="77777777" w:rsidR="00802652" w:rsidRPr="00C966A2" w:rsidRDefault="00802652" w:rsidP="00C92987">
            <w:pPr>
              <w:spacing w:after="200" w:line="240" w:lineRule="auto"/>
              <w:rPr>
                <w:rFonts w:cs="Arial"/>
                <w:sz w:val="20"/>
                <w:szCs w:val="20"/>
                <w:lang w:val="en-AU" w:eastAsia="en-AU"/>
              </w:rPr>
            </w:pPr>
            <w:r w:rsidRPr="00392C1B">
              <w:rPr>
                <w:rFonts w:cstheme="minorHAnsi"/>
                <w:sz w:val="20"/>
                <w:szCs w:val="20"/>
              </w:rPr>
              <w:t>At least 75%. Any working capital deficit should not exceed annual net cash flow from operations</w:t>
            </w:r>
          </w:p>
        </w:tc>
        <w:tc>
          <w:tcPr>
            <w:tcW w:w="1375" w:type="dxa"/>
          </w:tcPr>
          <w:p w14:paraId="58C14FB1" w14:textId="77777777" w:rsidR="00802652" w:rsidRPr="00C966A2" w:rsidRDefault="00802652" w:rsidP="00C92987">
            <w:pPr>
              <w:spacing w:line="240" w:lineRule="auto"/>
              <w:rPr>
                <w:rFonts w:cs="Arial"/>
                <w:sz w:val="20"/>
                <w:szCs w:val="20"/>
              </w:rPr>
            </w:pPr>
            <w:r w:rsidRPr="00C966A2">
              <w:rPr>
                <w:rFonts w:cs="Arial"/>
                <w:sz w:val="20"/>
                <w:szCs w:val="20"/>
              </w:rPr>
              <w:t>120%+</w:t>
            </w:r>
          </w:p>
        </w:tc>
        <w:tc>
          <w:tcPr>
            <w:tcW w:w="1418" w:type="dxa"/>
          </w:tcPr>
          <w:p w14:paraId="0B1B2CC5" w14:textId="77777777" w:rsidR="00802652" w:rsidRPr="00C966A2" w:rsidRDefault="00802652" w:rsidP="00C92987">
            <w:pPr>
              <w:spacing w:line="240" w:lineRule="auto"/>
              <w:rPr>
                <w:rFonts w:cs="Arial"/>
                <w:sz w:val="20"/>
                <w:szCs w:val="20"/>
              </w:rPr>
            </w:pPr>
            <w:r w:rsidRPr="00C966A2">
              <w:rPr>
                <w:rFonts w:cs="Arial"/>
                <w:sz w:val="20"/>
                <w:szCs w:val="20"/>
              </w:rPr>
              <w:t xml:space="preserve">100% to </w:t>
            </w:r>
            <w:r>
              <w:rPr>
                <w:rFonts w:cs="Arial"/>
                <w:sz w:val="20"/>
                <w:szCs w:val="20"/>
              </w:rPr>
              <w:t xml:space="preserve">less than </w:t>
            </w:r>
            <w:r w:rsidRPr="00C966A2">
              <w:rPr>
                <w:rFonts w:cs="Arial"/>
                <w:sz w:val="20"/>
                <w:szCs w:val="20"/>
              </w:rPr>
              <w:t>120%</w:t>
            </w:r>
          </w:p>
        </w:tc>
        <w:tc>
          <w:tcPr>
            <w:tcW w:w="1417" w:type="dxa"/>
          </w:tcPr>
          <w:p w14:paraId="2C913186" w14:textId="77777777" w:rsidR="00802652" w:rsidRPr="00C966A2" w:rsidRDefault="00802652" w:rsidP="00C92987">
            <w:pPr>
              <w:spacing w:line="240" w:lineRule="auto"/>
              <w:rPr>
                <w:rFonts w:cs="Arial"/>
                <w:sz w:val="20"/>
                <w:szCs w:val="20"/>
              </w:rPr>
            </w:pPr>
            <w:r w:rsidRPr="00C966A2">
              <w:rPr>
                <w:rFonts w:cs="Arial"/>
                <w:sz w:val="20"/>
                <w:szCs w:val="20"/>
              </w:rPr>
              <w:t xml:space="preserve">75% to </w:t>
            </w:r>
            <w:r>
              <w:rPr>
                <w:rFonts w:cs="Arial"/>
                <w:sz w:val="20"/>
                <w:szCs w:val="20"/>
              </w:rPr>
              <w:t xml:space="preserve">less than </w:t>
            </w:r>
            <w:r w:rsidRPr="00C966A2">
              <w:rPr>
                <w:rFonts w:cs="Arial"/>
                <w:sz w:val="20"/>
                <w:szCs w:val="20"/>
              </w:rPr>
              <w:t>100%</w:t>
            </w:r>
          </w:p>
        </w:tc>
        <w:tc>
          <w:tcPr>
            <w:tcW w:w="1418" w:type="dxa"/>
          </w:tcPr>
          <w:p w14:paraId="59259EBF" w14:textId="77777777" w:rsidR="00802652" w:rsidRPr="00BA4D25" w:rsidRDefault="00802652" w:rsidP="00C92987">
            <w:pPr>
              <w:spacing w:line="240" w:lineRule="auto"/>
              <w:rPr>
                <w:rFonts w:cstheme="minorHAnsi"/>
                <w:sz w:val="20"/>
                <w:szCs w:val="20"/>
              </w:rPr>
            </w:pPr>
            <w:r>
              <w:rPr>
                <w:rFonts w:cs="Arial"/>
                <w:sz w:val="20"/>
                <w:szCs w:val="20"/>
              </w:rPr>
              <w:t>Less than</w:t>
            </w:r>
            <w:r w:rsidRPr="00BA4D25">
              <w:rPr>
                <w:rFonts w:cstheme="minorHAnsi"/>
                <w:sz w:val="20"/>
                <w:szCs w:val="20"/>
              </w:rPr>
              <w:t xml:space="preserve"> 75% or where the working capital deficit exceeds annual net cash flow from operations</w:t>
            </w:r>
          </w:p>
        </w:tc>
        <w:tc>
          <w:tcPr>
            <w:tcW w:w="1417" w:type="dxa"/>
            <w:gridSpan w:val="2"/>
          </w:tcPr>
          <w:p w14:paraId="1347E0A7" w14:textId="77777777" w:rsidR="00802652" w:rsidRPr="00BA4D25" w:rsidRDefault="00802652" w:rsidP="00C92987">
            <w:pPr>
              <w:spacing w:line="240" w:lineRule="auto"/>
              <w:rPr>
                <w:rFonts w:cstheme="minorHAnsi"/>
                <w:sz w:val="20"/>
                <w:szCs w:val="20"/>
              </w:rPr>
            </w:pPr>
            <w:r w:rsidRPr="00BA4D25">
              <w:rPr>
                <w:rFonts w:cstheme="minorHAnsi"/>
                <w:sz w:val="20"/>
                <w:szCs w:val="20"/>
              </w:rPr>
              <w:t>Less than 20%</w:t>
            </w:r>
          </w:p>
        </w:tc>
        <w:tc>
          <w:tcPr>
            <w:tcW w:w="4820" w:type="dxa"/>
          </w:tcPr>
          <w:p w14:paraId="47822349" w14:textId="49DF3678" w:rsidR="00802652" w:rsidRDefault="00802652" w:rsidP="00C92987">
            <w:pPr>
              <w:spacing w:line="240" w:lineRule="auto"/>
              <w:rPr>
                <w:rFonts w:cstheme="minorHAnsi"/>
                <w:sz w:val="20"/>
                <w:szCs w:val="20"/>
              </w:rPr>
            </w:pPr>
            <w:r w:rsidRPr="00392C1B">
              <w:rPr>
                <w:rFonts w:cstheme="minorHAnsi"/>
                <w:sz w:val="20"/>
                <w:szCs w:val="20"/>
              </w:rPr>
              <w:t>Shows whether a PTE can meet its obligations that are due to be paid within a year. Many studies identify this as a key indicator to identify the financia</w:t>
            </w:r>
            <w:r>
              <w:rPr>
                <w:rFonts w:cstheme="minorHAnsi"/>
                <w:sz w:val="20"/>
                <w:szCs w:val="20"/>
              </w:rPr>
              <w:t>l viability of an organisation.</w:t>
            </w:r>
          </w:p>
          <w:p w14:paraId="66907F55" w14:textId="77777777" w:rsidR="00A05B3F" w:rsidRDefault="00802652" w:rsidP="00C92987">
            <w:pPr>
              <w:spacing w:line="240" w:lineRule="auto"/>
              <w:rPr>
                <w:rFonts w:cstheme="minorHAnsi"/>
                <w:sz w:val="20"/>
                <w:szCs w:val="20"/>
              </w:rPr>
            </w:pPr>
            <w:r w:rsidRPr="00392C1B">
              <w:rPr>
                <w:rFonts w:cstheme="minorHAnsi"/>
                <w:sz w:val="20"/>
                <w:szCs w:val="20"/>
              </w:rPr>
              <w:t>Should a PTE’s current liabilities exceed its current assets, then it relies on cash flow (or borrowing) to meet the shortfall. A PTE that cannot meet its obligations and does not have the cash flow generating capability will need to increase equity or other d</w:t>
            </w:r>
            <w:r>
              <w:rPr>
                <w:rFonts w:cstheme="minorHAnsi"/>
                <w:sz w:val="20"/>
                <w:szCs w:val="20"/>
              </w:rPr>
              <w:t>ebt to service its obligations.</w:t>
            </w:r>
          </w:p>
          <w:p w14:paraId="5071DB96" w14:textId="77777777" w:rsidR="00802652" w:rsidRDefault="00802652" w:rsidP="00C92987">
            <w:pPr>
              <w:spacing w:line="240" w:lineRule="auto"/>
              <w:rPr>
                <w:rFonts w:cstheme="minorHAnsi"/>
                <w:sz w:val="20"/>
                <w:szCs w:val="20"/>
              </w:rPr>
            </w:pPr>
            <w:r>
              <w:rPr>
                <w:rFonts w:cstheme="minorHAnsi"/>
                <w:sz w:val="20"/>
                <w:szCs w:val="20"/>
              </w:rPr>
              <w:t>O</w:t>
            </w:r>
            <w:r w:rsidRPr="00392C1B">
              <w:rPr>
                <w:rFonts w:cstheme="minorHAnsi"/>
                <w:sz w:val="20"/>
                <w:szCs w:val="20"/>
              </w:rPr>
              <w:t>ur assessments</w:t>
            </w:r>
            <w:r>
              <w:rPr>
                <w:rFonts w:cstheme="minorHAnsi"/>
                <w:sz w:val="20"/>
                <w:szCs w:val="20"/>
              </w:rPr>
              <w:t xml:space="preserve"> </w:t>
            </w:r>
            <w:r w:rsidRPr="00392C1B">
              <w:rPr>
                <w:rFonts w:cstheme="minorHAnsi"/>
                <w:sz w:val="20"/>
                <w:szCs w:val="20"/>
              </w:rPr>
              <w:t>use the classification</w:t>
            </w:r>
            <w:r>
              <w:rPr>
                <w:rFonts w:cstheme="minorHAnsi"/>
                <w:sz w:val="20"/>
                <w:szCs w:val="20"/>
              </w:rPr>
              <w:t>s</w:t>
            </w:r>
            <w:r w:rsidRPr="00392C1B">
              <w:rPr>
                <w:rFonts w:cstheme="minorHAnsi"/>
                <w:sz w:val="20"/>
                <w:szCs w:val="20"/>
              </w:rPr>
              <w:t xml:space="preserve"> in </w:t>
            </w:r>
            <w:r>
              <w:rPr>
                <w:rFonts w:cstheme="minorHAnsi"/>
                <w:sz w:val="20"/>
                <w:szCs w:val="20"/>
              </w:rPr>
              <w:t xml:space="preserve">each PTE’s audited/reviewed </w:t>
            </w:r>
            <w:r w:rsidRPr="00392C1B">
              <w:rPr>
                <w:rFonts w:cstheme="minorHAnsi"/>
                <w:sz w:val="20"/>
                <w:szCs w:val="20"/>
              </w:rPr>
              <w:t>financial statements</w:t>
            </w:r>
            <w:r>
              <w:rPr>
                <w:rFonts w:cstheme="minorHAnsi"/>
                <w:sz w:val="20"/>
                <w:szCs w:val="20"/>
              </w:rPr>
              <w:t xml:space="preserve"> of current assets and current liabilities</w:t>
            </w:r>
            <w:r w:rsidR="00E46091">
              <w:rPr>
                <w:rFonts w:cstheme="minorHAnsi"/>
                <w:sz w:val="20"/>
                <w:szCs w:val="20"/>
              </w:rPr>
              <w:t>,</w:t>
            </w:r>
            <w:r>
              <w:rPr>
                <w:rFonts w:cstheme="minorHAnsi"/>
                <w:sz w:val="20"/>
                <w:szCs w:val="20"/>
              </w:rPr>
              <w:t xml:space="preserve"> including </w:t>
            </w:r>
            <w:r w:rsidRPr="00392C1B">
              <w:rPr>
                <w:rFonts w:cstheme="minorHAnsi"/>
                <w:sz w:val="20"/>
                <w:szCs w:val="20"/>
              </w:rPr>
              <w:t>shareholder current accounts</w:t>
            </w:r>
            <w:r>
              <w:rPr>
                <w:rFonts w:cstheme="minorHAnsi"/>
                <w:sz w:val="20"/>
                <w:szCs w:val="20"/>
              </w:rPr>
              <w:t>.</w:t>
            </w:r>
            <w:r w:rsidR="00A05B3F" w:rsidRPr="00392C1B">
              <w:rPr>
                <w:rFonts w:cstheme="minorHAnsi"/>
                <w:sz w:val="20"/>
                <w:szCs w:val="20"/>
              </w:rPr>
              <w:t xml:space="preserve"> Large advances to related parties shown as a current asset may need to be tested to ensure they are truly available to meet current liabilities.</w:t>
            </w:r>
          </w:p>
          <w:p w14:paraId="3B01DF10" w14:textId="77777777" w:rsidR="00802652" w:rsidRPr="00A05B3F" w:rsidRDefault="00802652" w:rsidP="00C92987">
            <w:pPr>
              <w:spacing w:line="240" w:lineRule="auto"/>
              <w:rPr>
                <w:rFonts w:cstheme="minorHAnsi"/>
                <w:sz w:val="20"/>
                <w:szCs w:val="20"/>
              </w:rPr>
            </w:pPr>
            <w:r w:rsidRPr="00392C1B">
              <w:rPr>
                <w:rFonts w:cstheme="minorHAnsi"/>
                <w:sz w:val="20"/>
                <w:szCs w:val="20"/>
              </w:rPr>
              <w:t xml:space="preserve">The specified </w:t>
            </w:r>
            <w:r w:rsidRPr="0028205D">
              <w:rPr>
                <w:rFonts w:cstheme="minorHAnsi"/>
                <w:b/>
                <w:sz w:val="20"/>
                <w:szCs w:val="20"/>
              </w:rPr>
              <w:t>Minimum requirement</w:t>
            </w:r>
            <w:r w:rsidRPr="00392C1B">
              <w:rPr>
                <w:rFonts w:cstheme="minorHAnsi"/>
                <w:sz w:val="20"/>
                <w:szCs w:val="20"/>
              </w:rPr>
              <w:t xml:space="preserve"> </w:t>
            </w:r>
            <w:r>
              <w:rPr>
                <w:rFonts w:cstheme="minorHAnsi"/>
                <w:sz w:val="20"/>
                <w:szCs w:val="20"/>
              </w:rPr>
              <w:t xml:space="preserve">recognises </w:t>
            </w:r>
            <w:r w:rsidRPr="00392C1B">
              <w:rPr>
                <w:rFonts w:cstheme="minorHAnsi"/>
                <w:sz w:val="20"/>
                <w:szCs w:val="20"/>
              </w:rPr>
              <w:t>PTEs with working capital levels below 75% tend to struggle financially and have trouble maintaining solvency.</w:t>
            </w:r>
          </w:p>
        </w:tc>
      </w:tr>
      <w:tr w:rsidR="00802652" w:rsidRPr="00C966A2" w14:paraId="211FB1E1" w14:textId="77777777" w:rsidTr="00225277">
        <w:trPr>
          <w:trHeight w:val="983"/>
        </w:trPr>
        <w:tc>
          <w:tcPr>
            <w:tcW w:w="426" w:type="dxa"/>
          </w:tcPr>
          <w:p w14:paraId="46E337D8" w14:textId="77777777" w:rsidR="00802652" w:rsidRPr="00C966A2" w:rsidRDefault="00802652" w:rsidP="00C92987">
            <w:pPr>
              <w:spacing w:line="240" w:lineRule="auto"/>
              <w:rPr>
                <w:rFonts w:cs="Arial"/>
                <w:sz w:val="20"/>
                <w:szCs w:val="20"/>
              </w:rPr>
            </w:pPr>
            <w:r w:rsidRPr="00C966A2">
              <w:rPr>
                <w:rFonts w:cs="Arial"/>
                <w:sz w:val="20"/>
                <w:szCs w:val="20"/>
              </w:rPr>
              <w:t>4</w:t>
            </w:r>
          </w:p>
        </w:tc>
        <w:tc>
          <w:tcPr>
            <w:tcW w:w="1743" w:type="dxa"/>
          </w:tcPr>
          <w:p w14:paraId="15E238B5" w14:textId="77777777" w:rsidR="00802652" w:rsidRDefault="00802652" w:rsidP="00C92987">
            <w:pPr>
              <w:spacing w:line="240" w:lineRule="auto"/>
              <w:rPr>
                <w:rFonts w:cs="Arial"/>
                <w:i/>
                <w:sz w:val="20"/>
                <w:szCs w:val="20"/>
              </w:rPr>
            </w:pPr>
            <w:r w:rsidRPr="00BA4D25">
              <w:rPr>
                <w:rFonts w:cstheme="minorHAnsi"/>
                <w:sz w:val="20"/>
                <w:szCs w:val="20"/>
              </w:rPr>
              <w:t>Net surplus after tax to total revenue ratio</w:t>
            </w:r>
          </w:p>
          <w:p w14:paraId="22A62610" w14:textId="77777777" w:rsidR="00802652" w:rsidRDefault="00802652" w:rsidP="00C92987">
            <w:pPr>
              <w:spacing w:line="240" w:lineRule="auto"/>
              <w:rPr>
                <w:rFonts w:cs="Arial"/>
                <w:i/>
                <w:sz w:val="20"/>
                <w:szCs w:val="20"/>
              </w:rPr>
            </w:pPr>
            <w:r w:rsidRPr="003F2683">
              <w:rPr>
                <w:rFonts w:cs="Arial"/>
                <w:i/>
                <w:sz w:val="20"/>
                <w:szCs w:val="20"/>
              </w:rPr>
              <w:t>Net surplus after tax/Total revenue</w:t>
            </w:r>
          </w:p>
          <w:p w14:paraId="5B0EF107" w14:textId="77777777" w:rsidR="00802652" w:rsidRDefault="00802652" w:rsidP="00C92987">
            <w:pPr>
              <w:spacing w:line="240" w:lineRule="auto"/>
              <w:rPr>
                <w:rFonts w:cs="Arial"/>
                <w:i/>
                <w:sz w:val="20"/>
                <w:szCs w:val="20"/>
              </w:rPr>
            </w:pPr>
          </w:p>
          <w:p w14:paraId="674182BD" w14:textId="77777777" w:rsidR="00802652" w:rsidRDefault="00802652" w:rsidP="00C92987">
            <w:pPr>
              <w:spacing w:after="200" w:line="240" w:lineRule="auto"/>
              <w:ind w:right="-66"/>
              <w:rPr>
                <w:rFonts w:cstheme="minorHAnsi"/>
                <w:b/>
                <w:sz w:val="20"/>
                <w:szCs w:val="20"/>
              </w:rPr>
            </w:pPr>
            <w:r w:rsidRPr="000F58B5">
              <w:rPr>
                <w:rFonts w:cstheme="minorHAnsi"/>
                <w:b/>
                <w:sz w:val="20"/>
                <w:szCs w:val="20"/>
              </w:rPr>
              <w:t>Minimum requirement</w:t>
            </w:r>
          </w:p>
          <w:p w14:paraId="57418DC3" w14:textId="5CF7CBC0" w:rsidR="00802652" w:rsidRPr="00C966A2" w:rsidRDefault="00802652" w:rsidP="00C92987">
            <w:pPr>
              <w:spacing w:line="240" w:lineRule="auto"/>
              <w:rPr>
                <w:rFonts w:cs="Arial"/>
                <w:sz w:val="20"/>
                <w:szCs w:val="20"/>
                <w:lang w:val="en-AU" w:eastAsia="en-AU"/>
              </w:rPr>
            </w:pPr>
            <w:r w:rsidRPr="00392C1B">
              <w:rPr>
                <w:rFonts w:cstheme="minorHAnsi"/>
                <w:sz w:val="20"/>
                <w:szCs w:val="20"/>
              </w:rPr>
              <w:t>Evidence of being able to operate profitably in the long term. Any losses should not exceed 8% of total revenue</w:t>
            </w:r>
            <w:r w:rsidR="00EE41BD" w:rsidRPr="00392C1B">
              <w:rPr>
                <w:rFonts w:cstheme="minorHAnsi"/>
                <w:sz w:val="20"/>
                <w:szCs w:val="20"/>
              </w:rPr>
              <w:t xml:space="preserve"> or</w:t>
            </w:r>
            <w:r w:rsidR="00EE41BD">
              <w:rPr>
                <w:rFonts w:cstheme="minorHAnsi"/>
                <w:sz w:val="20"/>
                <w:szCs w:val="20"/>
              </w:rPr>
              <w:t xml:space="preserve"> </w:t>
            </w:r>
            <w:r w:rsidR="00EE41BD" w:rsidRPr="00392C1B">
              <w:rPr>
                <w:rFonts w:cstheme="minorHAnsi"/>
                <w:sz w:val="20"/>
                <w:szCs w:val="20"/>
              </w:rPr>
              <w:t xml:space="preserve">30% of total </w:t>
            </w:r>
            <w:r w:rsidR="00EE41BD">
              <w:rPr>
                <w:rFonts w:cstheme="minorHAnsi"/>
                <w:sz w:val="20"/>
                <w:szCs w:val="20"/>
              </w:rPr>
              <w:t>equity</w:t>
            </w:r>
          </w:p>
        </w:tc>
        <w:tc>
          <w:tcPr>
            <w:tcW w:w="1375" w:type="dxa"/>
          </w:tcPr>
          <w:p w14:paraId="08E84A69" w14:textId="77777777" w:rsidR="00802652" w:rsidRPr="00C966A2" w:rsidRDefault="00802652" w:rsidP="00C92987">
            <w:pPr>
              <w:spacing w:line="240" w:lineRule="auto"/>
              <w:rPr>
                <w:rFonts w:cs="Arial"/>
                <w:sz w:val="20"/>
                <w:szCs w:val="20"/>
              </w:rPr>
            </w:pPr>
            <w:r w:rsidRPr="00C966A2">
              <w:rPr>
                <w:rFonts w:cs="Arial"/>
                <w:sz w:val="20"/>
                <w:szCs w:val="20"/>
              </w:rPr>
              <w:t>8%+</w:t>
            </w:r>
          </w:p>
          <w:p w14:paraId="527B4615" w14:textId="77777777" w:rsidR="00802652" w:rsidRPr="00C966A2" w:rsidRDefault="00802652" w:rsidP="00C92987">
            <w:pPr>
              <w:spacing w:line="240" w:lineRule="auto"/>
              <w:rPr>
                <w:rFonts w:cs="Arial"/>
                <w:sz w:val="20"/>
                <w:szCs w:val="20"/>
              </w:rPr>
            </w:pPr>
            <w:r w:rsidRPr="00C966A2">
              <w:rPr>
                <w:rFonts w:cs="Arial"/>
                <w:sz w:val="20"/>
                <w:szCs w:val="20"/>
              </w:rPr>
              <w:t>i.e. generates a commercial return</w:t>
            </w:r>
          </w:p>
        </w:tc>
        <w:tc>
          <w:tcPr>
            <w:tcW w:w="1418" w:type="dxa"/>
          </w:tcPr>
          <w:p w14:paraId="5E3C6659" w14:textId="77777777" w:rsidR="00802652" w:rsidRPr="00C966A2" w:rsidRDefault="00802652" w:rsidP="00C92987">
            <w:pPr>
              <w:spacing w:line="240" w:lineRule="auto"/>
              <w:rPr>
                <w:rFonts w:cs="Arial"/>
                <w:sz w:val="20"/>
                <w:szCs w:val="20"/>
              </w:rPr>
            </w:pPr>
            <w:r w:rsidRPr="00C966A2">
              <w:rPr>
                <w:rFonts w:cs="Arial"/>
                <w:sz w:val="20"/>
                <w:szCs w:val="20"/>
              </w:rPr>
              <w:t xml:space="preserve">0 to </w:t>
            </w:r>
            <w:r>
              <w:rPr>
                <w:rFonts w:cs="Arial"/>
                <w:sz w:val="20"/>
                <w:szCs w:val="20"/>
              </w:rPr>
              <w:t xml:space="preserve">less than </w:t>
            </w:r>
            <w:r w:rsidRPr="00C966A2">
              <w:rPr>
                <w:rFonts w:cs="Arial"/>
                <w:sz w:val="20"/>
                <w:szCs w:val="20"/>
              </w:rPr>
              <w:t>8%</w:t>
            </w:r>
          </w:p>
        </w:tc>
        <w:tc>
          <w:tcPr>
            <w:tcW w:w="1417" w:type="dxa"/>
          </w:tcPr>
          <w:p w14:paraId="4E2F528D" w14:textId="77777777" w:rsidR="00802652" w:rsidRPr="00C966A2" w:rsidRDefault="00802652" w:rsidP="00C92987">
            <w:pPr>
              <w:spacing w:line="240" w:lineRule="auto"/>
              <w:rPr>
                <w:rFonts w:cs="Arial"/>
                <w:sz w:val="20"/>
                <w:szCs w:val="20"/>
              </w:rPr>
            </w:pPr>
            <w:r>
              <w:rPr>
                <w:rFonts w:cs="Arial"/>
                <w:sz w:val="20"/>
                <w:szCs w:val="20"/>
              </w:rPr>
              <w:t xml:space="preserve">Under </w:t>
            </w:r>
            <w:r w:rsidRPr="00C966A2">
              <w:rPr>
                <w:rFonts w:cs="Arial"/>
                <w:sz w:val="20"/>
                <w:szCs w:val="20"/>
              </w:rPr>
              <w:t>0 to</w:t>
            </w:r>
            <w:r>
              <w:rPr>
                <w:rFonts w:cs="Arial"/>
                <w:sz w:val="20"/>
                <w:szCs w:val="20"/>
              </w:rPr>
              <w:br/>
            </w:r>
            <w:r w:rsidRPr="00C966A2">
              <w:rPr>
                <w:rFonts w:cs="Arial"/>
                <w:sz w:val="20"/>
                <w:szCs w:val="20"/>
              </w:rPr>
              <w:t xml:space="preserve"> -8%</w:t>
            </w:r>
          </w:p>
        </w:tc>
        <w:tc>
          <w:tcPr>
            <w:tcW w:w="1418" w:type="dxa"/>
          </w:tcPr>
          <w:p w14:paraId="087ECC7C" w14:textId="77777777" w:rsidR="00802652" w:rsidRPr="00BA4D25" w:rsidRDefault="00802652" w:rsidP="00C92987">
            <w:pPr>
              <w:spacing w:line="240" w:lineRule="auto"/>
              <w:rPr>
                <w:rFonts w:cstheme="minorHAnsi"/>
                <w:sz w:val="20"/>
                <w:szCs w:val="20"/>
              </w:rPr>
            </w:pPr>
            <w:r w:rsidRPr="00BA4D25">
              <w:rPr>
                <w:rFonts w:cstheme="minorHAnsi"/>
                <w:sz w:val="20"/>
                <w:szCs w:val="20"/>
              </w:rPr>
              <w:t>Negative return</w:t>
            </w:r>
            <w:r>
              <w:rPr>
                <w:rFonts w:cstheme="minorHAnsi"/>
                <w:sz w:val="20"/>
                <w:szCs w:val="20"/>
              </w:rPr>
              <w:t xml:space="preserve"> greater than </w:t>
            </w:r>
            <w:r w:rsidRPr="00BA4D25">
              <w:rPr>
                <w:rFonts w:cstheme="minorHAnsi"/>
                <w:sz w:val="20"/>
                <w:szCs w:val="20"/>
              </w:rPr>
              <w:t xml:space="preserve">8% of Total revenue or </w:t>
            </w:r>
            <w:r>
              <w:rPr>
                <w:rFonts w:cstheme="minorHAnsi"/>
                <w:sz w:val="20"/>
                <w:szCs w:val="20"/>
              </w:rPr>
              <w:t>more than</w:t>
            </w:r>
            <w:r w:rsidRPr="00BA4D25">
              <w:rPr>
                <w:rFonts w:cstheme="minorHAnsi"/>
                <w:sz w:val="20"/>
                <w:szCs w:val="20"/>
              </w:rPr>
              <w:t xml:space="preserve"> 30% of Total equity</w:t>
            </w:r>
          </w:p>
        </w:tc>
        <w:tc>
          <w:tcPr>
            <w:tcW w:w="1417" w:type="dxa"/>
            <w:gridSpan w:val="2"/>
            <w:shd w:val="clear" w:color="auto" w:fill="F2F2F2" w:themeFill="background1" w:themeFillShade="F2"/>
          </w:tcPr>
          <w:p w14:paraId="03775BAF" w14:textId="77777777" w:rsidR="00802652" w:rsidRPr="00BA4D25" w:rsidRDefault="00802652" w:rsidP="00C92987">
            <w:pPr>
              <w:spacing w:line="240" w:lineRule="auto"/>
              <w:rPr>
                <w:rFonts w:cstheme="minorHAnsi"/>
                <w:sz w:val="20"/>
                <w:szCs w:val="20"/>
              </w:rPr>
            </w:pPr>
          </w:p>
        </w:tc>
        <w:tc>
          <w:tcPr>
            <w:tcW w:w="4820" w:type="dxa"/>
          </w:tcPr>
          <w:p w14:paraId="1505099D" w14:textId="05500384" w:rsidR="0006355F" w:rsidRDefault="00802652" w:rsidP="0006355F">
            <w:pPr>
              <w:rPr>
                <w:rFonts w:cstheme="minorHAnsi"/>
                <w:sz w:val="20"/>
                <w:szCs w:val="20"/>
              </w:rPr>
            </w:pPr>
            <w:r w:rsidRPr="00392C1B">
              <w:rPr>
                <w:rFonts w:cstheme="minorHAnsi"/>
                <w:sz w:val="20"/>
                <w:szCs w:val="20"/>
              </w:rPr>
              <w:t xml:space="preserve">To be sustainable a PTE must generate sufficient income to cover its costs of operation over the long term. Large or repeated operating losses are usually a sign of poor financial performance. </w:t>
            </w:r>
            <w:r w:rsidR="0006355F" w:rsidRPr="00392C1B">
              <w:rPr>
                <w:rFonts w:cstheme="minorHAnsi"/>
                <w:sz w:val="20"/>
                <w:szCs w:val="20"/>
              </w:rPr>
              <w:t xml:space="preserve">We do not expect not-for-profit organisations to generate a surplus each </w:t>
            </w:r>
            <w:r w:rsidR="00727261" w:rsidRPr="00392C1B">
              <w:rPr>
                <w:rFonts w:cstheme="minorHAnsi"/>
                <w:sz w:val="20"/>
                <w:szCs w:val="20"/>
              </w:rPr>
              <w:t>year but</w:t>
            </w:r>
            <w:r w:rsidR="0006355F" w:rsidRPr="00392C1B">
              <w:rPr>
                <w:rFonts w:cstheme="minorHAnsi"/>
                <w:sz w:val="20"/>
                <w:szCs w:val="20"/>
              </w:rPr>
              <w:t xml:space="preserve"> are concerned if </w:t>
            </w:r>
            <w:r w:rsidR="0006355F">
              <w:rPr>
                <w:rFonts w:cstheme="minorHAnsi"/>
                <w:sz w:val="20"/>
                <w:szCs w:val="20"/>
              </w:rPr>
              <w:t xml:space="preserve">any </w:t>
            </w:r>
            <w:r w:rsidR="0006355F" w:rsidRPr="00392C1B">
              <w:rPr>
                <w:rFonts w:cstheme="minorHAnsi"/>
                <w:sz w:val="20"/>
                <w:szCs w:val="20"/>
              </w:rPr>
              <w:t xml:space="preserve">PTE </w:t>
            </w:r>
            <w:r w:rsidR="0006355F">
              <w:rPr>
                <w:rFonts w:cstheme="minorHAnsi"/>
                <w:sz w:val="20"/>
                <w:szCs w:val="20"/>
              </w:rPr>
              <w:t>incurs</w:t>
            </w:r>
            <w:r w:rsidR="0006355F" w:rsidRPr="00392C1B">
              <w:rPr>
                <w:rFonts w:cstheme="minorHAnsi"/>
                <w:sz w:val="20"/>
                <w:szCs w:val="20"/>
              </w:rPr>
              <w:t xml:space="preserve"> large or recurring</w:t>
            </w:r>
            <w:r w:rsidR="0006355F">
              <w:rPr>
                <w:rFonts w:cstheme="minorHAnsi"/>
                <w:sz w:val="20"/>
                <w:szCs w:val="20"/>
              </w:rPr>
              <w:t xml:space="preserve"> losses</w:t>
            </w:r>
            <w:r w:rsidR="0006355F" w:rsidRPr="00392C1B">
              <w:rPr>
                <w:rFonts w:cstheme="minorHAnsi"/>
                <w:sz w:val="20"/>
                <w:szCs w:val="20"/>
              </w:rPr>
              <w:t>, as this is not sustainable over the longer term.</w:t>
            </w:r>
          </w:p>
          <w:p w14:paraId="7D4E98FC" w14:textId="77777777" w:rsidR="00802652" w:rsidRDefault="00802652" w:rsidP="00C92987">
            <w:pPr>
              <w:spacing w:line="240" w:lineRule="auto"/>
              <w:rPr>
                <w:rFonts w:cstheme="minorHAnsi"/>
                <w:sz w:val="20"/>
                <w:szCs w:val="20"/>
              </w:rPr>
            </w:pPr>
            <w:r w:rsidRPr="00392C1B">
              <w:rPr>
                <w:rFonts w:cstheme="minorHAnsi"/>
                <w:sz w:val="20"/>
                <w:szCs w:val="20"/>
              </w:rPr>
              <w:t>PTEs whose provision is growing will normally need to make and retain surpluses to fund necessary resources. A surplus also allows a PTE to accumulate reserves for leaner years, fund capital expenditure, and provide a financial return on the equity invested by stakeholders.</w:t>
            </w:r>
          </w:p>
          <w:p w14:paraId="4B4FEA4A" w14:textId="77777777" w:rsidR="00802652" w:rsidRDefault="00802652" w:rsidP="00C92987">
            <w:pPr>
              <w:spacing w:line="240" w:lineRule="auto"/>
              <w:rPr>
                <w:rFonts w:cstheme="minorHAnsi"/>
                <w:sz w:val="20"/>
                <w:szCs w:val="20"/>
              </w:rPr>
            </w:pPr>
            <w:r w:rsidRPr="00392C1B">
              <w:rPr>
                <w:rFonts w:cstheme="minorHAnsi"/>
                <w:sz w:val="20"/>
                <w:szCs w:val="20"/>
              </w:rPr>
              <w:t>Many organisations operate with a specified surplus target which is suitable for the industry they operate within. This is good practice.</w:t>
            </w:r>
          </w:p>
          <w:p w14:paraId="53DC04B4" w14:textId="77777777" w:rsidR="00802652" w:rsidRDefault="00802652" w:rsidP="00C92987">
            <w:pPr>
              <w:spacing w:line="240" w:lineRule="auto"/>
              <w:rPr>
                <w:rFonts w:cstheme="minorHAnsi"/>
                <w:sz w:val="20"/>
                <w:szCs w:val="20"/>
              </w:rPr>
            </w:pPr>
            <w:r w:rsidRPr="00392C1B">
              <w:rPr>
                <w:rFonts w:cstheme="minorHAnsi"/>
                <w:sz w:val="20"/>
                <w:szCs w:val="20"/>
              </w:rPr>
              <w:t xml:space="preserve">The specified </w:t>
            </w:r>
            <w:r w:rsidRPr="0028205D">
              <w:rPr>
                <w:rFonts w:cstheme="minorHAnsi"/>
                <w:b/>
                <w:sz w:val="20"/>
                <w:szCs w:val="20"/>
              </w:rPr>
              <w:t>Minimum requirement</w:t>
            </w:r>
            <w:r>
              <w:rPr>
                <w:rFonts w:cstheme="minorHAnsi"/>
                <w:b/>
                <w:sz w:val="20"/>
                <w:szCs w:val="20"/>
              </w:rPr>
              <w:t>s</w:t>
            </w:r>
            <w:r w:rsidRPr="00392C1B">
              <w:rPr>
                <w:rFonts w:cstheme="minorHAnsi"/>
                <w:sz w:val="20"/>
                <w:szCs w:val="20"/>
              </w:rPr>
              <w:t xml:space="preserve"> </w:t>
            </w:r>
            <w:r>
              <w:rPr>
                <w:rFonts w:cstheme="minorHAnsi"/>
                <w:sz w:val="20"/>
                <w:szCs w:val="20"/>
              </w:rPr>
              <w:t>recognise that</w:t>
            </w:r>
          </w:p>
          <w:p w14:paraId="79F9C15D" w14:textId="65BB0294" w:rsidR="00EE41BD" w:rsidRDefault="00802652" w:rsidP="00EE41BD">
            <w:pPr>
              <w:pStyle w:val="ListParagraph"/>
              <w:numPr>
                <w:ilvl w:val="0"/>
                <w:numId w:val="2"/>
              </w:numPr>
              <w:spacing w:after="200" w:line="240" w:lineRule="auto"/>
              <w:ind w:left="317" w:hanging="254"/>
              <w:rPr>
                <w:rFonts w:cstheme="minorHAnsi"/>
                <w:sz w:val="20"/>
                <w:szCs w:val="20"/>
              </w:rPr>
            </w:pPr>
            <w:r w:rsidRPr="00392C1B">
              <w:rPr>
                <w:rFonts w:cstheme="minorHAnsi"/>
                <w:sz w:val="20"/>
                <w:szCs w:val="20"/>
              </w:rPr>
              <w:t xml:space="preserve">If a PTE makes a loss of more than 8% </w:t>
            </w:r>
            <w:r w:rsidR="00F60752" w:rsidRPr="00392C1B">
              <w:rPr>
                <w:rFonts w:cstheme="minorHAnsi"/>
                <w:sz w:val="20"/>
                <w:szCs w:val="20"/>
              </w:rPr>
              <w:t xml:space="preserve">of total revenue </w:t>
            </w:r>
            <w:r w:rsidRPr="00392C1B">
              <w:rPr>
                <w:rFonts w:cstheme="minorHAnsi"/>
                <w:sz w:val="20"/>
                <w:szCs w:val="20"/>
              </w:rPr>
              <w:t xml:space="preserve">it will likely be </w:t>
            </w:r>
            <w:r>
              <w:rPr>
                <w:rFonts w:cstheme="minorHAnsi"/>
                <w:sz w:val="20"/>
                <w:szCs w:val="20"/>
              </w:rPr>
              <w:t>running down its cash reserves</w:t>
            </w:r>
          </w:p>
          <w:p w14:paraId="26C2FAE4" w14:textId="525ED1B7" w:rsidR="00802652" w:rsidRPr="00EE41BD" w:rsidRDefault="00EE41BD" w:rsidP="00EE41BD">
            <w:pPr>
              <w:pStyle w:val="ListParagraph"/>
              <w:numPr>
                <w:ilvl w:val="0"/>
                <w:numId w:val="2"/>
              </w:numPr>
              <w:spacing w:after="200" w:line="240" w:lineRule="auto"/>
              <w:ind w:left="317" w:hanging="254"/>
              <w:rPr>
                <w:rFonts w:cs="Arial"/>
                <w:i/>
                <w:sz w:val="20"/>
                <w:szCs w:val="20"/>
              </w:rPr>
            </w:pPr>
            <w:r w:rsidRPr="00392C1B">
              <w:rPr>
                <w:rFonts w:cstheme="minorHAnsi"/>
                <w:sz w:val="20"/>
                <w:szCs w:val="20"/>
              </w:rPr>
              <w:t xml:space="preserve">A loss over a third of available equity indicates the </w:t>
            </w:r>
            <w:r>
              <w:rPr>
                <w:rFonts w:cstheme="minorHAnsi"/>
                <w:sz w:val="20"/>
                <w:szCs w:val="20"/>
              </w:rPr>
              <w:t>PTE</w:t>
            </w:r>
            <w:r w:rsidRPr="00392C1B">
              <w:rPr>
                <w:rFonts w:cstheme="minorHAnsi"/>
                <w:sz w:val="20"/>
                <w:szCs w:val="20"/>
              </w:rPr>
              <w:t xml:space="preserve"> will have less than two to three years of operating life before it either fails or needs to be recapitalised. This situation woul</w:t>
            </w:r>
            <w:r>
              <w:rPr>
                <w:rFonts w:cstheme="minorHAnsi"/>
                <w:sz w:val="20"/>
                <w:szCs w:val="20"/>
              </w:rPr>
              <w:t>d need to be addressed urgently.</w:t>
            </w:r>
          </w:p>
        </w:tc>
      </w:tr>
      <w:tr w:rsidR="00802652" w:rsidRPr="00C966A2" w14:paraId="27A30A60" w14:textId="77777777" w:rsidTr="00225277">
        <w:trPr>
          <w:trHeight w:val="557"/>
        </w:trPr>
        <w:tc>
          <w:tcPr>
            <w:tcW w:w="426" w:type="dxa"/>
          </w:tcPr>
          <w:p w14:paraId="57F7CF4A" w14:textId="77777777" w:rsidR="00802652" w:rsidRPr="00C966A2" w:rsidRDefault="00802652" w:rsidP="00C92987">
            <w:pPr>
              <w:spacing w:line="240" w:lineRule="auto"/>
              <w:rPr>
                <w:rFonts w:cs="Arial"/>
                <w:sz w:val="20"/>
                <w:szCs w:val="20"/>
              </w:rPr>
            </w:pPr>
            <w:r w:rsidRPr="00C966A2">
              <w:rPr>
                <w:rFonts w:cs="Arial"/>
                <w:sz w:val="20"/>
                <w:szCs w:val="20"/>
              </w:rPr>
              <w:t>5</w:t>
            </w:r>
          </w:p>
        </w:tc>
        <w:tc>
          <w:tcPr>
            <w:tcW w:w="1743" w:type="dxa"/>
          </w:tcPr>
          <w:p w14:paraId="58D83FD2" w14:textId="77777777" w:rsidR="00802652" w:rsidRDefault="00802652" w:rsidP="00C92987">
            <w:pPr>
              <w:spacing w:line="240" w:lineRule="auto"/>
              <w:rPr>
                <w:rFonts w:cstheme="minorHAnsi"/>
                <w:sz w:val="20"/>
                <w:szCs w:val="20"/>
              </w:rPr>
            </w:pPr>
            <w:r w:rsidRPr="00BA4D25">
              <w:rPr>
                <w:rFonts w:cstheme="minorHAnsi"/>
                <w:sz w:val="20"/>
                <w:szCs w:val="20"/>
              </w:rPr>
              <w:t>Net cash flow from operations ratio</w:t>
            </w:r>
          </w:p>
          <w:p w14:paraId="7B153161" w14:textId="77777777" w:rsidR="00802652" w:rsidRDefault="00802652" w:rsidP="00C92987">
            <w:pPr>
              <w:spacing w:line="240" w:lineRule="auto"/>
              <w:rPr>
                <w:rFonts w:cstheme="minorHAnsi"/>
                <w:i/>
                <w:sz w:val="20"/>
                <w:szCs w:val="20"/>
              </w:rPr>
            </w:pPr>
            <w:r w:rsidRPr="00392C1B">
              <w:rPr>
                <w:rFonts w:cstheme="minorHAnsi"/>
                <w:i/>
                <w:sz w:val="20"/>
                <w:szCs w:val="20"/>
              </w:rPr>
              <w:t>Annual cash inflow from operations/Annual cash outflow from operations</w:t>
            </w:r>
          </w:p>
          <w:p w14:paraId="77144B20" w14:textId="77777777" w:rsidR="00802652" w:rsidRDefault="00802652" w:rsidP="00C92987">
            <w:pPr>
              <w:spacing w:line="240" w:lineRule="auto"/>
              <w:rPr>
                <w:rFonts w:cs="Arial"/>
                <w:sz w:val="20"/>
                <w:szCs w:val="20"/>
                <w:lang w:val="en-AU" w:eastAsia="en-AU"/>
              </w:rPr>
            </w:pPr>
          </w:p>
          <w:p w14:paraId="6092F240" w14:textId="77777777" w:rsidR="00802652" w:rsidRDefault="00802652" w:rsidP="00C92987">
            <w:pPr>
              <w:spacing w:after="200" w:line="240" w:lineRule="auto"/>
              <w:ind w:right="-66"/>
              <w:rPr>
                <w:rFonts w:cstheme="minorHAnsi"/>
                <w:b/>
                <w:sz w:val="20"/>
                <w:szCs w:val="20"/>
              </w:rPr>
            </w:pPr>
            <w:r w:rsidRPr="000F58B5">
              <w:rPr>
                <w:rFonts w:cstheme="minorHAnsi"/>
                <w:b/>
                <w:sz w:val="20"/>
                <w:szCs w:val="20"/>
              </w:rPr>
              <w:t>Minimum requirement</w:t>
            </w:r>
          </w:p>
          <w:p w14:paraId="0064632F" w14:textId="77777777" w:rsidR="00802652" w:rsidRPr="00C966A2" w:rsidRDefault="00802652" w:rsidP="00C92987">
            <w:pPr>
              <w:spacing w:line="240" w:lineRule="auto"/>
              <w:rPr>
                <w:rFonts w:cs="Arial"/>
                <w:sz w:val="20"/>
                <w:szCs w:val="20"/>
                <w:lang w:val="en-AU" w:eastAsia="en-AU"/>
              </w:rPr>
            </w:pPr>
            <w:r>
              <w:rPr>
                <w:rFonts w:cstheme="minorHAnsi"/>
                <w:sz w:val="20"/>
                <w:szCs w:val="20"/>
              </w:rPr>
              <w:t>100</w:t>
            </w:r>
            <w:r w:rsidRPr="00392C1B">
              <w:rPr>
                <w:rFonts w:cstheme="minorHAnsi"/>
                <w:sz w:val="20"/>
                <w:szCs w:val="20"/>
              </w:rPr>
              <w:t>%</w:t>
            </w:r>
          </w:p>
        </w:tc>
        <w:tc>
          <w:tcPr>
            <w:tcW w:w="1375" w:type="dxa"/>
          </w:tcPr>
          <w:p w14:paraId="263DC510" w14:textId="77777777" w:rsidR="00802652" w:rsidRPr="00C966A2" w:rsidRDefault="00802652" w:rsidP="00C92987">
            <w:pPr>
              <w:spacing w:line="240" w:lineRule="auto"/>
              <w:rPr>
                <w:rFonts w:cs="Arial"/>
                <w:sz w:val="20"/>
                <w:szCs w:val="20"/>
              </w:rPr>
            </w:pPr>
            <w:r w:rsidRPr="00C966A2">
              <w:rPr>
                <w:rFonts w:cs="Arial"/>
                <w:sz w:val="20"/>
                <w:szCs w:val="20"/>
              </w:rPr>
              <w:t>111%+</w:t>
            </w:r>
          </w:p>
        </w:tc>
        <w:tc>
          <w:tcPr>
            <w:tcW w:w="1418" w:type="dxa"/>
          </w:tcPr>
          <w:p w14:paraId="2ABDB921" w14:textId="77777777" w:rsidR="00802652" w:rsidRPr="00C966A2" w:rsidRDefault="00802652" w:rsidP="00C92987">
            <w:pPr>
              <w:spacing w:line="240" w:lineRule="auto"/>
              <w:rPr>
                <w:rFonts w:cs="Arial"/>
                <w:sz w:val="20"/>
                <w:szCs w:val="20"/>
              </w:rPr>
            </w:pPr>
            <w:r w:rsidRPr="00C966A2">
              <w:rPr>
                <w:rFonts w:cs="Arial"/>
                <w:sz w:val="20"/>
                <w:szCs w:val="20"/>
              </w:rPr>
              <w:t xml:space="preserve">108% to </w:t>
            </w:r>
            <w:r>
              <w:rPr>
                <w:rFonts w:cs="Arial"/>
                <w:sz w:val="20"/>
                <w:szCs w:val="20"/>
              </w:rPr>
              <w:t xml:space="preserve">less than </w:t>
            </w:r>
            <w:r w:rsidRPr="00C966A2">
              <w:rPr>
                <w:rFonts w:cs="Arial"/>
                <w:sz w:val="20"/>
                <w:szCs w:val="20"/>
              </w:rPr>
              <w:t>111%</w:t>
            </w:r>
          </w:p>
        </w:tc>
        <w:tc>
          <w:tcPr>
            <w:tcW w:w="1417" w:type="dxa"/>
          </w:tcPr>
          <w:p w14:paraId="4B73DF56" w14:textId="77777777" w:rsidR="00802652" w:rsidRPr="00C966A2" w:rsidRDefault="00802652" w:rsidP="00C92987">
            <w:pPr>
              <w:spacing w:line="240" w:lineRule="auto"/>
              <w:rPr>
                <w:rFonts w:cs="Arial"/>
                <w:sz w:val="20"/>
                <w:szCs w:val="20"/>
              </w:rPr>
            </w:pPr>
            <w:r w:rsidRPr="00C966A2">
              <w:rPr>
                <w:rFonts w:cs="Arial"/>
                <w:sz w:val="20"/>
                <w:szCs w:val="20"/>
              </w:rPr>
              <w:t xml:space="preserve">100% to </w:t>
            </w:r>
            <w:r>
              <w:rPr>
                <w:rFonts w:cs="Arial"/>
                <w:sz w:val="20"/>
                <w:szCs w:val="20"/>
              </w:rPr>
              <w:t xml:space="preserve">less than </w:t>
            </w:r>
            <w:r w:rsidRPr="00C966A2">
              <w:rPr>
                <w:rFonts w:cs="Arial"/>
                <w:sz w:val="20"/>
                <w:szCs w:val="20"/>
              </w:rPr>
              <w:t>108%</w:t>
            </w:r>
          </w:p>
        </w:tc>
        <w:tc>
          <w:tcPr>
            <w:tcW w:w="1418" w:type="dxa"/>
          </w:tcPr>
          <w:p w14:paraId="374BB07F" w14:textId="77777777" w:rsidR="00802652" w:rsidRPr="00BA4D25" w:rsidRDefault="00802652" w:rsidP="00C92987">
            <w:pPr>
              <w:spacing w:line="240" w:lineRule="auto"/>
              <w:rPr>
                <w:rFonts w:cstheme="minorHAnsi"/>
                <w:sz w:val="20"/>
                <w:szCs w:val="20"/>
              </w:rPr>
            </w:pPr>
            <w:r w:rsidRPr="00BA4D25">
              <w:rPr>
                <w:rFonts w:cstheme="minorHAnsi"/>
                <w:sz w:val="20"/>
                <w:szCs w:val="20"/>
              </w:rPr>
              <w:t xml:space="preserve">Ratio </w:t>
            </w:r>
            <w:r>
              <w:rPr>
                <w:rFonts w:cstheme="minorHAnsi"/>
                <w:sz w:val="20"/>
                <w:szCs w:val="20"/>
              </w:rPr>
              <w:t>less than</w:t>
            </w:r>
            <w:r w:rsidRPr="00BA4D25">
              <w:rPr>
                <w:rFonts w:cstheme="minorHAnsi"/>
                <w:sz w:val="20"/>
                <w:szCs w:val="20"/>
              </w:rPr>
              <w:t xml:space="preserve"> 100%</w:t>
            </w:r>
          </w:p>
        </w:tc>
        <w:tc>
          <w:tcPr>
            <w:tcW w:w="1417" w:type="dxa"/>
            <w:gridSpan w:val="2"/>
            <w:shd w:val="clear" w:color="auto" w:fill="F2F2F2" w:themeFill="background1" w:themeFillShade="F2"/>
          </w:tcPr>
          <w:p w14:paraId="6DBED233" w14:textId="77777777" w:rsidR="00802652" w:rsidRPr="00BA4D25" w:rsidRDefault="00802652" w:rsidP="00C92987">
            <w:pPr>
              <w:spacing w:line="240" w:lineRule="auto"/>
              <w:rPr>
                <w:rFonts w:cstheme="minorHAnsi"/>
                <w:sz w:val="20"/>
                <w:szCs w:val="20"/>
              </w:rPr>
            </w:pPr>
          </w:p>
        </w:tc>
        <w:tc>
          <w:tcPr>
            <w:tcW w:w="4820" w:type="dxa"/>
          </w:tcPr>
          <w:p w14:paraId="4C92D51B" w14:textId="166E144C" w:rsidR="00802652" w:rsidRDefault="00802652" w:rsidP="00C92987">
            <w:pPr>
              <w:spacing w:line="240" w:lineRule="auto"/>
              <w:rPr>
                <w:rFonts w:cstheme="minorHAnsi"/>
                <w:sz w:val="20"/>
                <w:szCs w:val="20"/>
              </w:rPr>
            </w:pPr>
            <w:r>
              <w:rPr>
                <w:rFonts w:cstheme="minorHAnsi"/>
                <w:sz w:val="20"/>
                <w:szCs w:val="20"/>
              </w:rPr>
              <w:t xml:space="preserve">Measures </w:t>
            </w:r>
            <w:r w:rsidR="003E5DC9">
              <w:rPr>
                <w:rFonts w:cstheme="minorHAnsi"/>
                <w:sz w:val="20"/>
                <w:szCs w:val="20"/>
              </w:rPr>
              <w:t xml:space="preserve">a PTE’s </w:t>
            </w:r>
            <w:r>
              <w:rPr>
                <w:rFonts w:cstheme="minorHAnsi"/>
                <w:sz w:val="20"/>
                <w:szCs w:val="20"/>
              </w:rPr>
              <w:t xml:space="preserve">ability of </w:t>
            </w:r>
            <w:r w:rsidRPr="00392C1B">
              <w:rPr>
                <w:rFonts w:cstheme="minorHAnsi"/>
                <w:sz w:val="20"/>
                <w:szCs w:val="20"/>
              </w:rPr>
              <w:t xml:space="preserve">to </w:t>
            </w:r>
            <w:r>
              <w:rPr>
                <w:rFonts w:cstheme="minorHAnsi"/>
                <w:sz w:val="20"/>
                <w:szCs w:val="20"/>
              </w:rPr>
              <w:t>meet</w:t>
            </w:r>
            <w:r w:rsidRPr="00392C1B">
              <w:rPr>
                <w:rFonts w:cstheme="minorHAnsi"/>
                <w:sz w:val="20"/>
                <w:szCs w:val="20"/>
              </w:rPr>
              <w:t xml:space="preserve"> cash expenditure</w:t>
            </w:r>
            <w:r>
              <w:rPr>
                <w:rFonts w:cstheme="minorHAnsi"/>
                <w:sz w:val="20"/>
                <w:szCs w:val="20"/>
              </w:rPr>
              <w:t xml:space="preserve"> from </w:t>
            </w:r>
            <w:r w:rsidRPr="00392C1B">
              <w:rPr>
                <w:rFonts w:cstheme="minorHAnsi"/>
                <w:sz w:val="20"/>
                <w:szCs w:val="20"/>
              </w:rPr>
              <w:t>cash generated from all income sources. Positive net cash flow from operations is important to service debt, build cash reserves and provide for future capital expenditure. PTEs may need to generate higher cash flow ratios to expand.</w:t>
            </w:r>
          </w:p>
          <w:p w14:paraId="380639E9" w14:textId="77777777" w:rsidR="00802652" w:rsidRDefault="00802652" w:rsidP="00C92987">
            <w:pPr>
              <w:spacing w:line="240" w:lineRule="auto"/>
              <w:rPr>
                <w:rFonts w:cstheme="minorHAnsi"/>
                <w:sz w:val="20"/>
                <w:szCs w:val="20"/>
              </w:rPr>
            </w:pPr>
            <w:r w:rsidRPr="00392C1B">
              <w:rPr>
                <w:rFonts w:cstheme="minorHAnsi"/>
                <w:sz w:val="20"/>
                <w:szCs w:val="20"/>
              </w:rPr>
              <w:t>Depending upon its depreciation charge, a ratio higher than 108% generally indicates an entity can accumulate cash resources to replace depreciating assets. A ratio of 111% accords roughly with a 3% surplus.</w:t>
            </w:r>
          </w:p>
          <w:p w14:paraId="61E875F6" w14:textId="77777777" w:rsidR="00802652" w:rsidRDefault="00802652" w:rsidP="00C92987">
            <w:pPr>
              <w:spacing w:line="240" w:lineRule="auto"/>
              <w:rPr>
                <w:rFonts w:cstheme="minorHAnsi"/>
                <w:sz w:val="20"/>
                <w:szCs w:val="20"/>
              </w:rPr>
            </w:pPr>
            <w:r w:rsidRPr="00392C1B">
              <w:rPr>
                <w:rFonts w:cstheme="minorHAnsi"/>
                <w:sz w:val="20"/>
                <w:szCs w:val="20"/>
              </w:rPr>
              <w:t xml:space="preserve">The specified </w:t>
            </w:r>
            <w:r w:rsidRPr="0028205D">
              <w:rPr>
                <w:rFonts w:cstheme="minorHAnsi"/>
                <w:b/>
                <w:sz w:val="20"/>
                <w:szCs w:val="20"/>
              </w:rPr>
              <w:t>Minimum requirement</w:t>
            </w:r>
            <w:r w:rsidRPr="00392C1B">
              <w:rPr>
                <w:rFonts w:cstheme="minorHAnsi"/>
                <w:sz w:val="20"/>
                <w:szCs w:val="20"/>
              </w:rPr>
              <w:t xml:space="preserve"> </w:t>
            </w:r>
            <w:r>
              <w:rPr>
                <w:rFonts w:cstheme="minorHAnsi"/>
                <w:sz w:val="20"/>
                <w:szCs w:val="20"/>
              </w:rPr>
              <w:t xml:space="preserve">is 100%. </w:t>
            </w:r>
            <w:r w:rsidRPr="00392C1B">
              <w:rPr>
                <w:rFonts w:cstheme="minorHAnsi"/>
                <w:sz w:val="20"/>
                <w:szCs w:val="20"/>
              </w:rPr>
              <w:t>A ratio of less than 100% indicates a PTE spends more on its operations than it generates from revenue. It also indicates the PTE is running down its cash reserves.</w:t>
            </w:r>
          </w:p>
          <w:p w14:paraId="2E0241CC" w14:textId="77777777" w:rsidR="00802652" w:rsidRPr="003F2683" w:rsidRDefault="00802652" w:rsidP="00C92987">
            <w:pPr>
              <w:spacing w:line="240" w:lineRule="auto"/>
              <w:rPr>
                <w:rFonts w:cs="Arial"/>
                <w:i/>
                <w:sz w:val="20"/>
                <w:szCs w:val="20"/>
              </w:rPr>
            </w:pPr>
            <w:r w:rsidRPr="00392C1B">
              <w:rPr>
                <w:rFonts w:cstheme="minorHAnsi"/>
                <w:sz w:val="20"/>
                <w:szCs w:val="20"/>
              </w:rPr>
              <w:t>Where a PTE does not produce a Statement of Cash Flows with its financial statements, we calculate this measure from identifiable cash income and expense items in its Statement of Financial Performance.</w:t>
            </w:r>
          </w:p>
        </w:tc>
      </w:tr>
      <w:tr w:rsidR="00802652" w:rsidRPr="00C966A2" w14:paraId="3F018389" w14:textId="77777777" w:rsidTr="002159ED">
        <w:trPr>
          <w:trHeight w:val="557"/>
        </w:trPr>
        <w:tc>
          <w:tcPr>
            <w:tcW w:w="426" w:type="dxa"/>
          </w:tcPr>
          <w:p w14:paraId="34D1C17E" w14:textId="77777777" w:rsidR="00802652" w:rsidRPr="00C966A2" w:rsidRDefault="00802652" w:rsidP="00C92987">
            <w:pPr>
              <w:spacing w:line="240" w:lineRule="auto"/>
              <w:rPr>
                <w:rFonts w:cs="Arial"/>
                <w:sz w:val="20"/>
                <w:szCs w:val="20"/>
              </w:rPr>
            </w:pPr>
            <w:r w:rsidRPr="00C966A2">
              <w:rPr>
                <w:rFonts w:cs="Arial"/>
                <w:sz w:val="20"/>
                <w:szCs w:val="20"/>
              </w:rPr>
              <w:t>6</w:t>
            </w:r>
          </w:p>
        </w:tc>
        <w:tc>
          <w:tcPr>
            <w:tcW w:w="1743" w:type="dxa"/>
          </w:tcPr>
          <w:p w14:paraId="6DF8D696" w14:textId="77777777" w:rsidR="00802652" w:rsidRDefault="00802652" w:rsidP="00C92987">
            <w:pPr>
              <w:spacing w:line="240" w:lineRule="auto"/>
              <w:rPr>
                <w:rFonts w:cs="Arial"/>
                <w:sz w:val="20"/>
                <w:szCs w:val="20"/>
                <w:lang w:val="en-AU" w:eastAsia="en-AU"/>
              </w:rPr>
            </w:pPr>
            <w:r w:rsidRPr="00B43283">
              <w:rPr>
                <w:rFonts w:cs="Arial"/>
                <w:sz w:val="20"/>
                <w:szCs w:val="20"/>
                <w:lang w:val="en-AU" w:eastAsia="en-AU"/>
              </w:rPr>
              <w:t>Debt equity ratio</w:t>
            </w:r>
          </w:p>
          <w:p w14:paraId="7E4D3432" w14:textId="77777777" w:rsidR="00802652" w:rsidRDefault="00802652" w:rsidP="00C92987">
            <w:pPr>
              <w:spacing w:line="240" w:lineRule="auto"/>
              <w:rPr>
                <w:rFonts w:cstheme="minorHAnsi"/>
                <w:i/>
                <w:sz w:val="20"/>
                <w:szCs w:val="20"/>
              </w:rPr>
            </w:pPr>
            <w:r w:rsidRPr="00392C1B">
              <w:rPr>
                <w:rFonts w:cstheme="minorHAnsi"/>
                <w:i/>
                <w:sz w:val="20"/>
                <w:szCs w:val="20"/>
              </w:rPr>
              <w:t>Debt/Debt plus net tangible assets</w:t>
            </w:r>
          </w:p>
          <w:p w14:paraId="72D85E2B" w14:textId="77777777" w:rsidR="00802652" w:rsidRDefault="00802652" w:rsidP="00C92987">
            <w:pPr>
              <w:spacing w:line="240" w:lineRule="auto"/>
              <w:rPr>
                <w:rFonts w:cstheme="minorHAnsi"/>
                <w:i/>
                <w:sz w:val="20"/>
                <w:szCs w:val="20"/>
              </w:rPr>
            </w:pPr>
          </w:p>
          <w:p w14:paraId="71A18922" w14:textId="77777777" w:rsidR="00802652" w:rsidRDefault="00802652" w:rsidP="00C92987">
            <w:pPr>
              <w:spacing w:after="200" w:line="240" w:lineRule="auto"/>
              <w:ind w:right="-66"/>
              <w:rPr>
                <w:rFonts w:cstheme="minorHAnsi"/>
                <w:b/>
                <w:sz w:val="20"/>
                <w:szCs w:val="20"/>
              </w:rPr>
            </w:pPr>
            <w:r w:rsidRPr="000F58B5">
              <w:rPr>
                <w:rFonts w:cstheme="minorHAnsi"/>
                <w:b/>
                <w:sz w:val="20"/>
                <w:szCs w:val="20"/>
              </w:rPr>
              <w:t>Minimum requirement</w:t>
            </w:r>
          </w:p>
          <w:p w14:paraId="5D16E4BF" w14:textId="77777777" w:rsidR="00802652" w:rsidRPr="00C966A2" w:rsidRDefault="00802652" w:rsidP="00C92987">
            <w:pPr>
              <w:spacing w:line="240" w:lineRule="auto"/>
              <w:rPr>
                <w:rFonts w:cs="Arial"/>
                <w:sz w:val="20"/>
                <w:szCs w:val="20"/>
                <w:lang w:val="en-AU" w:eastAsia="en-AU"/>
              </w:rPr>
            </w:pPr>
            <w:r w:rsidRPr="00392C1B">
              <w:rPr>
                <w:rFonts w:cstheme="minorHAnsi"/>
                <w:sz w:val="20"/>
                <w:szCs w:val="20"/>
              </w:rPr>
              <w:t>Total borrowings should not exceed net tangible assets i.e. a debt ratio of more than 50%</w:t>
            </w:r>
          </w:p>
        </w:tc>
        <w:tc>
          <w:tcPr>
            <w:tcW w:w="1375" w:type="dxa"/>
          </w:tcPr>
          <w:p w14:paraId="525255EB" w14:textId="77777777" w:rsidR="00802652" w:rsidRPr="00C966A2" w:rsidRDefault="00802652" w:rsidP="00C92987">
            <w:pPr>
              <w:spacing w:line="240" w:lineRule="auto"/>
              <w:rPr>
                <w:rFonts w:cs="Arial"/>
                <w:sz w:val="20"/>
                <w:szCs w:val="20"/>
              </w:rPr>
            </w:pPr>
            <w:r w:rsidRPr="00C966A2">
              <w:rPr>
                <w:rFonts w:cs="Arial"/>
                <w:sz w:val="20"/>
                <w:szCs w:val="20"/>
              </w:rPr>
              <w:t>Less than 20%</w:t>
            </w:r>
          </w:p>
        </w:tc>
        <w:tc>
          <w:tcPr>
            <w:tcW w:w="1418" w:type="dxa"/>
          </w:tcPr>
          <w:p w14:paraId="3BB6ECBE" w14:textId="77777777" w:rsidR="00802652" w:rsidRPr="00C966A2" w:rsidRDefault="00802652" w:rsidP="00C92987">
            <w:pPr>
              <w:spacing w:line="240" w:lineRule="auto"/>
              <w:rPr>
                <w:rFonts w:cs="Arial"/>
                <w:sz w:val="20"/>
                <w:szCs w:val="20"/>
              </w:rPr>
            </w:pPr>
            <w:r w:rsidRPr="00C966A2">
              <w:rPr>
                <w:rFonts w:cs="Arial"/>
                <w:sz w:val="20"/>
                <w:szCs w:val="20"/>
              </w:rPr>
              <w:t xml:space="preserve">20% to </w:t>
            </w:r>
            <w:r>
              <w:rPr>
                <w:rFonts w:cs="Arial"/>
                <w:sz w:val="20"/>
                <w:szCs w:val="20"/>
              </w:rPr>
              <w:t xml:space="preserve">less than </w:t>
            </w:r>
            <w:r w:rsidRPr="00C966A2">
              <w:rPr>
                <w:rFonts w:cs="Arial"/>
                <w:sz w:val="20"/>
                <w:szCs w:val="20"/>
              </w:rPr>
              <w:t>33%</w:t>
            </w:r>
          </w:p>
        </w:tc>
        <w:tc>
          <w:tcPr>
            <w:tcW w:w="1417" w:type="dxa"/>
          </w:tcPr>
          <w:p w14:paraId="73A4FCBA" w14:textId="77777777" w:rsidR="00802652" w:rsidRPr="00C966A2" w:rsidRDefault="00802652" w:rsidP="00C92987">
            <w:pPr>
              <w:spacing w:line="240" w:lineRule="auto"/>
              <w:rPr>
                <w:rFonts w:cs="Arial"/>
                <w:sz w:val="20"/>
                <w:szCs w:val="20"/>
              </w:rPr>
            </w:pPr>
            <w:r w:rsidRPr="00C966A2">
              <w:rPr>
                <w:rFonts w:cs="Arial"/>
                <w:sz w:val="20"/>
                <w:szCs w:val="20"/>
              </w:rPr>
              <w:t xml:space="preserve">33% to </w:t>
            </w:r>
            <w:r>
              <w:rPr>
                <w:rFonts w:cs="Arial"/>
                <w:sz w:val="20"/>
                <w:szCs w:val="20"/>
              </w:rPr>
              <w:t xml:space="preserve">less than </w:t>
            </w:r>
            <w:r w:rsidRPr="00C966A2">
              <w:rPr>
                <w:rFonts w:cs="Arial"/>
                <w:sz w:val="20"/>
                <w:szCs w:val="20"/>
              </w:rPr>
              <w:t>50%</w:t>
            </w:r>
          </w:p>
        </w:tc>
        <w:tc>
          <w:tcPr>
            <w:tcW w:w="1418" w:type="dxa"/>
          </w:tcPr>
          <w:p w14:paraId="1B806542" w14:textId="77777777" w:rsidR="00802652" w:rsidRPr="00BA4D25" w:rsidRDefault="00802652" w:rsidP="00C92987">
            <w:pPr>
              <w:spacing w:line="240" w:lineRule="auto"/>
              <w:rPr>
                <w:rFonts w:cstheme="minorHAnsi"/>
                <w:sz w:val="20"/>
                <w:szCs w:val="20"/>
              </w:rPr>
            </w:pPr>
            <w:r w:rsidRPr="00BA4D25">
              <w:rPr>
                <w:rFonts w:cstheme="minorHAnsi"/>
                <w:sz w:val="20"/>
                <w:szCs w:val="20"/>
              </w:rPr>
              <w:t>50% to less than 80%</w:t>
            </w:r>
          </w:p>
        </w:tc>
        <w:tc>
          <w:tcPr>
            <w:tcW w:w="1417" w:type="dxa"/>
            <w:gridSpan w:val="2"/>
          </w:tcPr>
          <w:p w14:paraId="27B947DB" w14:textId="77777777" w:rsidR="00802652" w:rsidRPr="00BA4D25" w:rsidRDefault="00802652" w:rsidP="00C92987">
            <w:pPr>
              <w:spacing w:line="240" w:lineRule="auto"/>
              <w:rPr>
                <w:rFonts w:cstheme="minorHAnsi"/>
                <w:sz w:val="20"/>
                <w:szCs w:val="20"/>
              </w:rPr>
            </w:pPr>
            <w:r w:rsidRPr="00BA4D25">
              <w:rPr>
                <w:rFonts w:cstheme="minorHAnsi"/>
                <w:sz w:val="20"/>
                <w:szCs w:val="20"/>
              </w:rPr>
              <w:t>80%+ or negative ratio</w:t>
            </w:r>
          </w:p>
        </w:tc>
        <w:tc>
          <w:tcPr>
            <w:tcW w:w="4820" w:type="dxa"/>
          </w:tcPr>
          <w:p w14:paraId="0A065CDA" w14:textId="77777777" w:rsidR="00802652" w:rsidRDefault="00802652" w:rsidP="00C92987">
            <w:pPr>
              <w:spacing w:line="240" w:lineRule="auto"/>
              <w:rPr>
                <w:rFonts w:cstheme="minorHAnsi"/>
                <w:sz w:val="20"/>
                <w:szCs w:val="20"/>
              </w:rPr>
            </w:pPr>
            <w:r w:rsidRPr="00392C1B">
              <w:rPr>
                <w:rFonts w:cstheme="minorHAnsi"/>
                <w:sz w:val="20"/>
                <w:szCs w:val="20"/>
              </w:rPr>
              <w:t>This measure of “leverage” looks at the proportion of the balance sheet</w:t>
            </w:r>
            <w:r>
              <w:rPr>
                <w:rFonts w:cstheme="minorHAnsi"/>
                <w:sz w:val="20"/>
                <w:szCs w:val="20"/>
              </w:rPr>
              <w:t xml:space="preserve"> funded from debt versus equity.</w:t>
            </w:r>
          </w:p>
          <w:p w14:paraId="3124C4D4" w14:textId="77777777" w:rsidR="00802652" w:rsidRDefault="00802652" w:rsidP="00C92987">
            <w:pPr>
              <w:spacing w:line="240" w:lineRule="auto"/>
              <w:rPr>
                <w:rFonts w:cstheme="minorHAnsi"/>
                <w:sz w:val="20"/>
                <w:szCs w:val="20"/>
              </w:rPr>
            </w:pPr>
            <w:r w:rsidRPr="00392C1B">
              <w:rPr>
                <w:rFonts w:cstheme="minorHAnsi"/>
                <w:sz w:val="20"/>
                <w:szCs w:val="20"/>
              </w:rPr>
              <w:t xml:space="preserve">Debt is a legitimate funding source to finance capital works. How much debt a PTE can carry depends upon </w:t>
            </w:r>
            <w:r>
              <w:rPr>
                <w:rFonts w:cstheme="minorHAnsi"/>
                <w:sz w:val="20"/>
                <w:szCs w:val="20"/>
              </w:rPr>
              <w:t>its</w:t>
            </w:r>
            <w:r w:rsidRPr="00392C1B">
              <w:rPr>
                <w:rFonts w:cstheme="minorHAnsi"/>
                <w:sz w:val="20"/>
                <w:szCs w:val="20"/>
              </w:rPr>
              <w:t xml:space="preserve"> earnings, the variability in its earnings year on year, its balance sheet strength (leverage and liquidity), interest rates</w:t>
            </w:r>
            <w:r>
              <w:rPr>
                <w:rFonts w:cstheme="minorHAnsi"/>
                <w:sz w:val="20"/>
                <w:szCs w:val="20"/>
              </w:rPr>
              <w:t>,</w:t>
            </w:r>
            <w:r w:rsidRPr="00392C1B">
              <w:rPr>
                <w:rFonts w:cstheme="minorHAnsi"/>
                <w:sz w:val="20"/>
                <w:szCs w:val="20"/>
              </w:rPr>
              <w:t xml:space="preserve"> an</w:t>
            </w:r>
            <w:r>
              <w:rPr>
                <w:rFonts w:cstheme="minorHAnsi"/>
                <w:sz w:val="20"/>
                <w:szCs w:val="20"/>
              </w:rPr>
              <w:t>d general borrowing conditions.</w:t>
            </w:r>
          </w:p>
          <w:p w14:paraId="6A9FC43E" w14:textId="77777777" w:rsidR="00802652" w:rsidRDefault="00802652" w:rsidP="00C92987">
            <w:pPr>
              <w:spacing w:line="240" w:lineRule="auto"/>
              <w:rPr>
                <w:rFonts w:cstheme="minorHAnsi"/>
                <w:sz w:val="20"/>
                <w:szCs w:val="20"/>
              </w:rPr>
            </w:pPr>
            <w:r w:rsidRPr="00392C1B">
              <w:rPr>
                <w:rFonts w:cstheme="minorHAnsi"/>
                <w:sz w:val="20"/>
                <w:szCs w:val="20"/>
              </w:rPr>
              <w:t xml:space="preserve">As debt rises, the risk of institutional default increases. This is because debt tends to incur interest </w:t>
            </w:r>
            <w:r>
              <w:rPr>
                <w:rFonts w:cstheme="minorHAnsi"/>
                <w:sz w:val="20"/>
                <w:szCs w:val="20"/>
              </w:rPr>
              <w:t xml:space="preserve">charges which are a fixed cost. </w:t>
            </w:r>
            <w:r w:rsidRPr="00392C1B">
              <w:rPr>
                <w:rFonts w:cstheme="minorHAnsi"/>
                <w:sz w:val="20"/>
                <w:szCs w:val="20"/>
              </w:rPr>
              <w:t>The higher the debt, the more important it is that capital expenditure is in productive assets (i.e. assets with a positive net present value).</w:t>
            </w:r>
          </w:p>
          <w:p w14:paraId="0E386674" w14:textId="77777777" w:rsidR="00802652" w:rsidRDefault="00802652" w:rsidP="00C92987">
            <w:pPr>
              <w:spacing w:line="240" w:lineRule="auto"/>
              <w:rPr>
                <w:rFonts w:cstheme="minorHAnsi"/>
                <w:sz w:val="20"/>
                <w:szCs w:val="20"/>
              </w:rPr>
            </w:pPr>
            <w:r w:rsidRPr="00392C1B">
              <w:rPr>
                <w:rFonts w:cstheme="minorHAnsi"/>
                <w:sz w:val="20"/>
                <w:szCs w:val="20"/>
              </w:rPr>
              <w:t xml:space="preserve">Debt means long-term </w:t>
            </w:r>
            <w:r>
              <w:rPr>
                <w:rFonts w:cstheme="minorHAnsi"/>
                <w:sz w:val="20"/>
                <w:szCs w:val="20"/>
              </w:rPr>
              <w:t>finance</w:t>
            </w:r>
            <w:r w:rsidRPr="00392C1B">
              <w:rPr>
                <w:rFonts w:cstheme="minorHAnsi"/>
                <w:sz w:val="20"/>
                <w:szCs w:val="20"/>
              </w:rPr>
              <w:t xml:space="preserve">. It includes, but is not limited to, the current </w:t>
            </w:r>
            <w:r>
              <w:rPr>
                <w:rFonts w:cstheme="minorHAnsi"/>
                <w:sz w:val="20"/>
                <w:szCs w:val="20"/>
              </w:rPr>
              <w:t xml:space="preserve">and </w:t>
            </w:r>
            <w:r w:rsidRPr="00392C1B">
              <w:rPr>
                <w:rFonts w:cstheme="minorHAnsi"/>
                <w:sz w:val="20"/>
                <w:szCs w:val="20"/>
              </w:rPr>
              <w:t xml:space="preserve">term </w:t>
            </w:r>
            <w:r>
              <w:rPr>
                <w:rFonts w:cstheme="minorHAnsi"/>
                <w:sz w:val="20"/>
                <w:szCs w:val="20"/>
              </w:rPr>
              <w:t xml:space="preserve">portions of </w:t>
            </w:r>
            <w:r w:rsidRPr="00392C1B">
              <w:rPr>
                <w:rFonts w:cstheme="minorHAnsi"/>
                <w:sz w:val="20"/>
                <w:szCs w:val="20"/>
              </w:rPr>
              <w:t>loans, overdrafts, issued bonds</w:t>
            </w:r>
            <w:r>
              <w:rPr>
                <w:rFonts w:cstheme="minorHAnsi"/>
                <w:sz w:val="20"/>
                <w:szCs w:val="20"/>
              </w:rPr>
              <w:t>,</w:t>
            </w:r>
            <w:r w:rsidRPr="00392C1B">
              <w:rPr>
                <w:rFonts w:cstheme="minorHAnsi"/>
                <w:sz w:val="20"/>
                <w:szCs w:val="20"/>
              </w:rPr>
              <w:t xml:space="preserve"> </w:t>
            </w:r>
            <w:r>
              <w:rPr>
                <w:rFonts w:cstheme="minorHAnsi"/>
                <w:sz w:val="20"/>
                <w:szCs w:val="20"/>
              </w:rPr>
              <w:t>and</w:t>
            </w:r>
            <w:r w:rsidRPr="00392C1B">
              <w:rPr>
                <w:rFonts w:cstheme="minorHAnsi"/>
                <w:sz w:val="20"/>
                <w:szCs w:val="20"/>
              </w:rPr>
              <w:t xml:space="preserve"> shareholders current accounts</w:t>
            </w:r>
            <w:r>
              <w:rPr>
                <w:rFonts w:cstheme="minorHAnsi"/>
                <w:sz w:val="20"/>
                <w:szCs w:val="20"/>
              </w:rPr>
              <w:t xml:space="preserve">. </w:t>
            </w:r>
            <w:r w:rsidRPr="00392C1B">
              <w:rPr>
                <w:rFonts w:cstheme="minorHAnsi"/>
                <w:sz w:val="20"/>
                <w:szCs w:val="20"/>
              </w:rPr>
              <w:t>Some business owners use shareholder current accounts as an alternative to equity and others rely on the lending to the compa</w:t>
            </w:r>
            <w:r>
              <w:rPr>
                <w:rFonts w:cstheme="minorHAnsi"/>
                <w:sz w:val="20"/>
                <w:szCs w:val="20"/>
              </w:rPr>
              <w:t xml:space="preserve">ny to be repaid. </w:t>
            </w:r>
            <w:r w:rsidRPr="00392C1B">
              <w:rPr>
                <w:rFonts w:cstheme="minorHAnsi"/>
                <w:sz w:val="20"/>
                <w:szCs w:val="20"/>
              </w:rPr>
              <w:t xml:space="preserve">Shareholder loan accounts are </w:t>
            </w:r>
            <w:r>
              <w:rPr>
                <w:rFonts w:cstheme="minorHAnsi"/>
                <w:sz w:val="20"/>
                <w:szCs w:val="20"/>
              </w:rPr>
              <w:t xml:space="preserve">not equity. They are </w:t>
            </w:r>
            <w:r w:rsidRPr="00392C1B">
              <w:rPr>
                <w:rFonts w:cstheme="minorHAnsi"/>
                <w:sz w:val="20"/>
                <w:szCs w:val="20"/>
              </w:rPr>
              <w:t>treated as debt for accounting purposes and in the event of windup.</w:t>
            </w:r>
          </w:p>
          <w:p w14:paraId="24BF2125" w14:textId="77777777" w:rsidR="00802652" w:rsidRDefault="00802652" w:rsidP="00C92987">
            <w:pPr>
              <w:spacing w:line="240" w:lineRule="auto"/>
              <w:rPr>
                <w:rFonts w:cstheme="minorHAnsi"/>
                <w:sz w:val="20"/>
                <w:szCs w:val="20"/>
              </w:rPr>
            </w:pPr>
            <w:r w:rsidRPr="00392C1B">
              <w:rPr>
                <w:rFonts w:cstheme="minorHAnsi"/>
                <w:sz w:val="20"/>
                <w:szCs w:val="20"/>
              </w:rPr>
              <w:t xml:space="preserve">Debt excludes trade creditors, accounts payable, tax payable, </w:t>
            </w:r>
            <w:r>
              <w:rPr>
                <w:rFonts w:cstheme="minorHAnsi"/>
                <w:sz w:val="20"/>
                <w:szCs w:val="20"/>
              </w:rPr>
              <w:t xml:space="preserve">operational use of credit cards, </w:t>
            </w:r>
            <w:r w:rsidRPr="00392C1B">
              <w:rPr>
                <w:rFonts w:cstheme="minorHAnsi"/>
                <w:sz w:val="20"/>
                <w:szCs w:val="20"/>
              </w:rPr>
              <w:t>provisions or current liabilities that are unlikely to result in cash outflows, and student fees paid in advance.</w:t>
            </w:r>
          </w:p>
          <w:p w14:paraId="53675A56" w14:textId="77777777" w:rsidR="00802652" w:rsidRPr="003F2683" w:rsidRDefault="00802652" w:rsidP="00C92987">
            <w:pPr>
              <w:spacing w:line="240" w:lineRule="auto"/>
              <w:rPr>
                <w:rFonts w:cs="Arial"/>
                <w:i/>
                <w:sz w:val="20"/>
                <w:szCs w:val="20"/>
              </w:rPr>
            </w:pPr>
            <w:r w:rsidRPr="00392C1B">
              <w:rPr>
                <w:rFonts w:cstheme="minorHAnsi"/>
                <w:sz w:val="20"/>
                <w:szCs w:val="20"/>
              </w:rPr>
              <w:t xml:space="preserve">The specified </w:t>
            </w:r>
            <w:r w:rsidRPr="0028205D">
              <w:rPr>
                <w:rFonts w:cstheme="minorHAnsi"/>
                <w:b/>
                <w:sz w:val="20"/>
                <w:szCs w:val="20"/>
              </w:rPr>
              <w:t>Minimum requirement</w:t>
            </w:r>
            <w:r w:rsidRPr="00392C1B">
              <w:rPr>
                <w:rFonts w:cstheme="minorHAnsi"/>
                <w:sz w:val="20"/>
                <w:szCs w:val="20"/>
              </w:rPr>
              <w:t xml:space="preserve"> </w:t>
            </w:r>
            <w:r>
              <w:rPr>
                <w:rFonts w:cstheme="minorHAnsi"/>
                <w:sz w:val="20"/>
                <w:szCs w:val="20"/>
              </w:rPr>
              <w:t xml:space="preserve">recognises that </w:t>
            </w:r>
            <w:r w:rsidRPr="00392C1B">
              <w:rPr>
                <w:rFonts w:cstheme="minorHAnsi"/>
                <w:sz w:val="20"/>
                <w:szCs w:val="20"/>
              </w:rPr>
              <w:t>risk</w:t>
            </w:r>
            <w:r>
              <w:rPr>
                <w:rFonts w:cstheme="minorHAnsi"/>
                <w:sz w:val="20"/>
                <w:szCs w:val="20"/>
              </w:rPr>
              <w:t>s</w:t>
            </w:r>
            <w:r w:rsidRPr="00392C1B">
              <w:rPr>
                <w:rFonts w:cstheme="minorHAnsi"/>
                <w:sz w:val="20"/>
                <w:szCs w:val="20"/>
              </w:rPr>
              <w:t xml:space="preserve"> rise as debt approaches 50% of net tangible assets, i.e. the point where debt financing exceeds equity financing. When borrowings exceed equity this indicates financial risk.</w:t>
            </w:r>
            <w:r>
              <w:rPr>
                <w:rFonts w:cstheme="minorHAnsi"/>
                <w:sz w:val="20"/>
                <w:szCs w:val="20"/>
              </w:rPr>
              <w:t xml:space="preserve"> </w:t>
            </w:r>
            <w:r w:rsidRPr="00392C1B">
              <w:rPr>
                <w:rFonts w:cstheme="minorHAnsi"/>
                <w:sz w:val="20"/>
                <w:szCs w:val="20"/>
              </w:rPr>
              <w:t>In the tertiary education sector TEIs start to struggle with debt levels over about 20%.</w:t>
            </w:r>
          </w:p>
        </w:tc>
      </w:tr>
      <w:tr w:rsidR="00802652" w:rsidRPr="00C966A2" w14:paraId="41DF1800" w14:textId="77777777" w:rsidTr="00225277">
        <w:tc>
          <w:tcPr>
            <w:tcW w:w="426" w:type="dxa"/>
          </w:tcPr>
          <w:p w14:paraId="382006FF" w14:textId="77777777" w:rsidR="00802652" w:rsidRPr="00C966A2" w:rsidRDefault="00802652" w:rsidP="00C92987">
            <w:pPr>
              <w:spacing w:line="240" w:lineRule="auto"/>
              <w:rPr>
                <w:rFonts w:cs="Arial"/>
                <w:sz w:val="20"/>
                <w:szCs w:val="20"/>
              </w:rPr>
            </w:pPr>
            <w:r w:rsidRPr="00C966A2">
              <w:rPr>
                <w:rFonts w:cs="Arial"/>
                <w:sz w:val="20"/>
                <w:szCs w:val="20"/>
              </w:rPr>
              <w:t>7</w:t>
            </w:r>
          </w:p>
        </w:tc>
        <w:tc>
          <w:tcPr>
            <w:tcW w:w="1743" w:type="dxa"/>
          </w:tcPr>
          <w:p w14:paraId="3FB93183" w14:textId="5E970806" w:rsidR="00067C1F" w:rsidRDefault="00802652" w:rsidP="00C92987">
            <w:pPr>
              <w:spacing w:line="240" w:lineRule="auto"/>
              <w:rPr>
                <w:rFonts w:cstheme="minorHAnsi"/>
                <w:sz w:val="20"/>
                <w:szCs w:val="20"/>
              </w:rPr>
            </w:pPr>
            <w:r w:rsidRPr="00E15C74">
              <w:rPr>
                <w:rFonts w:cstheme="minorHAnsi"/>
                <w:sz w:val="20"/>
                <w:szCs w:val="20"/>
              </w:rPr>
              <w:t xml:space="preserve">Net surplus </w:t>
            </w:r>
            <w:r>
              <w:rPr>
                <w:rFonts w:cstheme="minorHAnsi"/>
                <w:sz w:val="20"/>
                <w:szCs w:val="20"/>
              </w:rPr>
              <w:t>(</w:t>
            </w:r>
            <w:r w:rsidRPr="00E15C74">
              <w:rPr>
                <w:rFonts w:cstheme="minorHAnsi"/>
                <w:sz w:val="20"/>
                <w:szCs w:val="20"/>
              </w:rPr>
              <w:t xml:space="preserve">pre shareholder wages and </w:t>
            </w:r>
            <w:r w:rsidR="00727261" w:rsidRPr="00E15C74">
              <w:rPr>
                <w:rFonts w:cstheme="minorHAnsi"/>
                <w:sz w:val="20"/>
                <w:szCs w:val="20"/>
              </w:rPr>
              <w:t>directors’</w:t>
            </w:r>
            <w:r w:rsidRPr="00E15C74">
              <w:rPr>
                <w:rFonts w:cstheme="minorHAnsi"/>
                <w:sz w:val="20"/>
                <w:szCs w:val="20"/>
              </w:rPr>
              <w:t xml:space="preserve"> fees</w:t>
            </w:r>
            <w:r>
              <w:rPr>
                <w:rFonts w:cstheme="minorHAnsi"/>
                <w:sz w:val="20"/>
                <w:szCs w:val="20"/>
              </w:rPr>
              <w:t xml:space="preserve">) </w:t>
            </w:r>
            <w:r w:rsidRPr="007D4BC5">
              <w:rPr>
                <w:rFonts w:cstheme="minorHAnsi"/>
                <w:sz w:val="20"/>
                <w:szCs w:val="20"/>
              </w:rPr>
              <w:t>after tax to Total revenue ratio</w:t>
            </w:r>
          </w:p>
          <w:p w14:paraId="3EAD565E" w14:textId="68748CAA" w:rsidR="00802652" w:rsidRPr="00C966A2" w:rsidRDefault="00802652" w:rsidP="00C92987">
            <w:pPr>
              <w:spacing w:line="240" w:lineRule="auto"/>
              <w:rPr>
                <w:rFonts w:cs="Arial"/>
                <w:sz w:val="20"/>
                <w:szCs w:val="20"/>
              </w:rPr>
            </w:pPr>
            <w:r>
              <w:rPr>
                <w:rFonts w:cs="Arial"/>
                <w:i/>
                <w:sz w:val="20"/>
                <w:szCs w:val="20"/>
              </w:rPr>
              <w:t>(</w:t>
            </w:r>
            <w:r w:rsidRPr="003F2683">
              <w:rPr>
                <w:rFonts w:cs="Arial"/>
                <w:i/>
                <w:sz w:val="20"/>
                <w:szCs w:val="20"/>
              </w:rPr>
              <w:t xml:space="preserve">Net Surplus after tax </w:t>
            </w:r>
            <w:r>
              <w:rPr>
                <w:rFonts w:cs="Arial"/>
                <w:i/>
                <w:sz w:val="20"/>
                <w:szCs w:val="20"/>
              </w:rPr>
              <w:t>plus</w:t>
            </w:r>
            <w:r w:rsidRPr="003F2683">
              <w:rPr>
                <w:rFonts w:cs="Arial"/>
                <w:i/>
                <w:sz w:val="20"/>
                <w:szCs w:val="20"/>
              </w:rPr>
              <w:t xml:space="preserve"> shareholder wages </w:t>
            </w:r>
            <w:r>
              <w:rPr>
                <w:rFonts w:cs="Arial"/>
                <w:i/>
                <w:sz w:val="20"/>
                <w:szCs w:val="20"/>
              </w:rPr>
              <w:t>plus</w:t>
            </w:r>
            <w:r w:rsidRPr="003F2683">
              <w:rPr>
                <w:rFonts w:cs="Arial"/>
                <w:i/>
                <w:sz w:val="20"/>
                <w:szCs w:val="20"/>
              </w:rPr>
              <w:t xml:space="preserve"> </w:t>
            </w:r>
            <w:r w:rsidR="00727261" w:rsidRPr="003F2683">
              <w:rPr>
                <w:rFonts w:cs="Arial"/>
                <w:i/>
                <w:sz w:val="20"/>
                <w:szCs w:val="20"/>
              </w:rPr>
              <w:t>directors’</w:t>
            </w:r>
            <w:r w:rsidRPr="003F2683">
              <w:rPr>
                <w:rFonts w:cs="Arial"/>
                <w:i/>
                <w:sz w:val="20"/>
                <w:szCs w:val="20"/>
              </w:rPr>
              <w:t xml:space="preserve"> fees </w:t>
            </w:r>
            <w:r>
              <w:rPr>
                <w:rFonts w:cs="Arial"/>
                <w:i/>
                <w:sz w:val="20"/>
                <w:szCs w:val="20"/>
              </w:rPr>
              <w:t>plus</w:t>
            </w:r>
            <w:r w:rsidRPr="003F2683">
              <w:rPr>
                <w:rFonts w:cs="Arial"/>
                <w:i/>
                <w:sz w:val="20"/>
                <w:szCs w:val="20"/>
              </w:rPr>
              <w:t xml:space="preserve"> subvention payments</w:t>
            </w:r>
            <w:r>
              <w:rPr>
                <w:rFonts w:cs="Arial"/>
                <w:i/>
                <w:sz w:val="20"/>
                <w:szCs w:val="20"/>
              </w:rPr>
              <w:t>)</w:t>
            </w:r>
            <w:r w:rsidRPr="003F2683">
              <w:rPr>
                <w:rFonts w:cs="Arial"/>
                <w:i/>
                <w:sz w:val="20"/>
                <w:szCs w:val="20"/>
              </w:rPr>
              <w:t>/Total revenue</w:t>
            </w:r>
          </w:p>
        </w:tc>
        <w:tc>
          <w:tcPr>
            <w:tcW w:w="1375" w:type="dxa"/>
            <w:tcBorders>
              <w:bottom w:val="single" w:sz="4" w:space="0" w:color="auto"/>
            </w:tcBorders>
          </w:tcPr>
          <w:p w14:paraId="1AD71D95" w14:textId="77777777" w:rsidR="00802652" w:rsidRPr="00C966A2" w:rsidRDefault="00802652" w:rsidP="00C92987">
            <w:pPr>
              <w:spacing w:line="240" w:lineRule="auto"/>
              <w:rPr>
                <w:rFonts w:cs="Arial"/>
                <w:sz w:val="20"/>
                <w:szCs w:val="20"/>
              </w:rPr>
            </w:pPr>
            <w:r w:rsidRPr="00C966A2">
              <w:rPr>
                <w:rFonts w:cs="Arial"/>
                <w:sz w:val="20"/>
                <w:szCs w:val="20"/>
              </w:rPr>
              <w:t>8%+</w:t>
            </w:r>
          </w:p>
        </w:tc>
        <w:tc>
          <w:tcPr>
            <w:tcW w:w="1418" w:type="dxa"/>
            <w:tcBorders>
              <w:bottom w:val="single" w:sz="4" w:space="0" w:color="auto"/>
            </w:tcBorders>
          </w:tcPr>
          <w:p w14:paraId="499690E7" w14:textId="77777777" w:rsidR="00802652" w:rsidRPr="00C966A2" w:rsidRDefault="00802652" w:rsidP="00C92987">
            <w:pPr>
              <w:spacing w:line="240" w:lineRule="auto"/>
              <w:rPr>
                <w:rFonts w:cs="Arial"/>
                <w:sz w:val="20"/>
                <w:szCs w:val="20"/>
              </w:rPr>
            </w:pPr>
            <w:r w:rsidRPr="00C966A2">
              <w:rPr>
                <w:rFonts w:cs="Arial"/>
                <w:sz w:val="20"/>
                <w:szCs w:val="20"/>
              </w:rPr>
              <w:t xml:space="preserve">0 </w:t>
            </w:r>
            <w:r>
              <w:rPr>
                <w:rFonts w:cs="Arial"/>
                <w:sz w:val="20"/>
                <w:szCs w:val="20"/>
              </w:rPr>
              <w:t xml:space="preserve">to less than </w:t>
            </w:r>
            <w:r w:rsidRPr="00C966A2">
              <w:rPr>
                <w:rFonts w:cs="Arial"/>
                <w:sz w:val="20"/>
                <w:szCs w:val="20"/>
              </w:rPr>
              <w:t>8%+</w:t>
            </w:r>
          </w:p>
        </w:tc>
        <w:tc>
          <w:tcPr>
            <w:tcW w:w="1417" w:type="dxa"/>
            <w:tcBorders>
              <w:bottom w:val="single" w:sz="4" w:space="0" w:color="auto"/>
            </w:tcBorders>
          </w:tcPr>
          <w:p w14:paraId="3041DB77" w14:textId="77777777" w:rsidR="00802652" w:rsidRPr="00C966A2" w:rsidRDefault="00802652" w:rsidP="00C92987">
            <w:pPr>
              <w:spacing w:line="240" w:lineRule="auto"/>
              <w:rPr>
                <w:rFonts w:cs="Arial"/>
                <w:sz w:val="20"/>
                <w:szCs w:val="20"/>
              </w:rPr>
            </w:pPr>
            <w:r>
              <w:rPr>
                <w:rFonts w:cs="Arial"/>
                <w:sz w:val="20"/>
                <w:szCs w:val="20"/>
              </w:rPr>
              <w:t xml:space="preserve">Under </w:t>
            </w:r>
            <w:r w:rsidRPr="00C966A2">
              <w:rPr>
                <w:rFonts w:cs="Arial"/>
                <w:sz w:val="20"/>
                <w:szCs w:val="20"/>
              </w:rPr>
              <w:t>0 to -8%</w:t>
            </w:r>
          </w:p>
        </w:tc>
        <w:tc>
          <w:tcPr>
            <w:tcW w:w="1418" w:type="dxa"/>
            <w:tcBorders>
              <w:bottom w:val="single" w:sz="4" w:space="0" w:color="auto"/>
            </w:tcBorders>
          </w:tcPr>
          <w:p w14:paraId="698D2D22" w14:textId="77777777" w:rsidR="00802652" w:rsidRPr="00BA4D25" w:rsidRDefault="00802652" w:rsidP="00C92987">
            <w:pPr>
              <w:spacing w:line="240" w:lineRule="auto"/>
              <w:rPr>
                <w:rFonts w:cstheme="minorHAnsi"/>
                <w:sz w:val="20"/>
                <w:szCs w:val="20"/>
              </w:rPr>
            </w:pPr>
            <w:r w:rsidRPr="00BA4D25">
              <w:rPr>
                <w:rFonts w:cstheme="minorHAnsi"/>
                <w:sz w:val="20"/>
                <w:szCs w:val="20"/>
              </w:rPr>
              <w:t>Loss</w:t>
            </w:r>
            <w:r>
              <w:rPr>
                <w:rFonts w:cstheme="minorHAnsi"/>
                <w:sz w:val="20"/>
                <w:szCs w:val="20"/>
              </w:rPr>
              <w:t xml:space="preserve"> greater than </w:t>
            </w:r>
            <w:r w:rsidRPr="00BA4D25">
              <w:rPr>
                <w:rFonts w:cstheme="minorHAnsi"/>
                <w:sz w:val="20"/>
                <w:szCs w:val="20"/>
              </w:rPr>
              <w:t xml:space="preserve">8% of total revenue or </w:t>
            </w:r>
            <w:r>
              <w:rPr>
                <w:rFonts w:cstheme="minorHAnsi"/>
                <w:sz w:val="20"/>
                <w:szCs w:val="20"/>
              </w:rPr>
              <w:t xml:space="preserve">more than </w:t>
            </w:r>
            <w:r w:rsidRPr="00BA4D25">
              <w:rPr>
                <w:rFonts w:cstheme="minorHAnsi"/>
                <w:sz w:val="20"/>
                <w:szCs w:val="20"/>
              </w:rPr>
              <w:t>30% of total equity</w:t>
            </w:r>
          </w:p>
        </w:tc>
        <w:tc>
          <w:tcPr>
            <w:tcW w:w="1417" w:type="dxa"/>
            <w:gridSpan w:val="2"/>
            <w:tcBorders>
              <w:bottom w:val="single" w:sz="4" w:space="0" w:color="auto"/>
            </w:tcBorders>
            <w:shd w:val="clear" w:color="auto" w:fill="F2F2F2" w:themeFill="background1" w:themeFillShade="F2"/>
          </w:tcPr>
          <w:p w14:paraId="68096770" w14:textId="77777777" w:rsidR="00802652" w:rsidRPr="00BA4D25" w:rsidRDefault="00802652" w:rsidP="00C92987">
            <w:pPr>
              <w:spacing w:line="240" w:lineRule="auto"/>
              <w:rPr>
                <w:rFonts w:cstheme="minorHAnsi"/>
                <w:sz w:val="20"/>
                <w:szCs w:val="20"/>
              </w:rPr>
            </w:pPr>
          </w:p>
        </w:tc>
        <w:tc>
          <w:tcPr>
            <w:tcW w:w="4820" w:type="dxa"/>
          </w:tcPr>
          <w:p w14:paraId="4BD217B7" w14:textId="77777777" w:rsidR="00802652" w:rsidRDefault="00802652" w:rsidP="00C92987">
            <w:pPr>
              <w:spacing w:line="240" w:lineRule="auto"/>
              <w:rPr>
                <w:rFonts w:cs="Arial"/>
                <w:sz w:val="20"/>
                <w:szCs w:val="20"/>
              </w:rPr>
            </w:pPr>
            <w:r>
              <w:rPr>
                <w:rFonts w:cs="Arial"/>
                <w:sz w:val="20"/>
                <w:szCs w:val="20"/>
              </w:rPr>
              <w:t>I</w:t>
            </w:r>
            <w:r w:rsidRPr="00B71677">
              <w:rPr>
                <w:rFonts w:cs="Arial"/>
                <w:sz w:val="20"/>
                <w:szCs w:val="20"/>
              </w:rPr>
              <w:t>ndicate</w:t>
            </w:r>
            <w:r>
              <w:rPr>
                <w:rFonts w:cs="Arial"/>
                <w:sz w:val="20"/>
                <w:szCs w:val="20"/>
              </w:rPr>
              <w:t>s the profitability of the PTE.</w:t>
            </w:r>
          </w:p>
          <w:p w14:paraId="55E4B420" w14:textId="77777777" w:rsidR="00802652" w:rsidRPr="00C966A2" w:rsidRDefault="00802652" w:rsidP="00C92987">
            <w:pPr>
              <w:spacing w:line="240" w:lineRule="auto"/>
              <w:rPr>
                <w:rFonts w:cs="Arial"/>
                <w:sz w:val="20"/>
                <w:szCs w:val="20"/>
              </w:rPr>
            </w:pPr>
            <w:r w:rsidRPr="00B71677">
              <w:rPr>
                <w:rFonts w:cs="Arial"/>
                <w:sz w:val="20"/>
                <w:szCs w:val="20"/>
              </w:rPr>
              <w:t xml:space="preserve">Often shareholders take large wages or directors fees in lieu of profits. Measuring pre and post wages is useful to determine </w:t>
            </w:r>
            <w:r>
              <w:rPr>
                <w:rFonts w:cs="Arial"/>
                <w:sz w:val="20"/>
                <w:szCs w:val="20"/>
              </w:rPr>
              <w:t xml:space="preserve">a PTE’s </w:t>
            </w:r>
            <w:r w:rsidRPr="00B71677">
              <w:rPr>
                <w:rFonts w:cs="Arial"/>
                <w:sz w:val="20"/>
                <w:szCs w:val="20"/>
              </w:rPr>
              <w:t>true earnings</w:t>
            </w:r>
            <w:r>
              <w:rPr>
                <w:rFonts w:cs="Arial"/>
                <w:sz w:val="20"/>
                <w:szCs w:val="20"/>
              </w:rPr>
              <w:t>.</w:t>
            </w:r>
          </w:p>
        </w:tc>
      </w:tr>
      <w:tr w:rsidR="00802652" w:rsidRPr="00CA20BC" w14:paraId="3BA4F7D7" w14:textId="77777777" w:rsidTr="00225277">
        <w:tc>
          <w:tcPr>
            <w:tcW w:w="426" w:type="dxa"/>
          </w:tcPr>
          <w:p w14:paraId="26A892D1" w14:textId="77777777" w:rsidR="00802652" w:rsidRPr="00C966A2" w:rsidRDefault="00802652" w:rsidP="00C92987">
            <w:pPr>
              <w:spacing w:line="240" w:lineRule="auto"/>
              <w:rPr>
                <w:rFonts w:cs="Arial"/>
                <w:sz w:val="20"/>
                <w:szCs w:val="20"/>
              </w:rPr>
            </w:pPr>
            <w:r w:rsidRPr="00C966A2">
              <w:rPr>
                <w:rFonts w:cs="Arial"/>
                <w:sz w:val="20"/>
                <w:szCs w:val="20"/>
              </w:rPr>
              <w:t>8</w:t>
            </w:r>
          </w:p>
        </w:tc>
        <w:tc>
          <w:tcPr>
            <w:tcW w:w="1743" w:type="dxa"/>
          </w:tcPr>
          <w:p w14:paraId="2C151519" w14:textId="77777777" w:rsidR="00802652" w:rsidRPr="00C966A2" w:rsidRDefault="00802652" w:rsidP="00C92987">
            <w:pPr>
              <w:spacing w:line="240" w:lineRule="auto"/>
              <w:rPr>
                <w:rFonts w:cs="Arial"/>
                <w:sz w:val="20"/>
                <w:szCs w:val="20"/>
              </w:rPr>
            </w:pPr>
            <w:r w:rsidRPr="005F09E6">
              <w:rPr>
                <w:rFonts w:cs="Arial"/>
                <w:sz w:val="20"/>
                <w:szCs w:val="20"/>
              </w:rPr>
              <w:t>Variability in surplus ratio</w:t>
            </w:r>
          </w:p>
        </w:tc>
        <w:tc>
          <w:tcPr>
            <w:tcW w:w="1375" w:type="dxa"/>
          </w:tcPr>
          <w:p w14:paraId="3FD72A43" w14:textId="77777777" w:rsidR="00802652" w:rsidRPr="00067C1F" w:rsidRDefault="00802652" w:rsidP="00C92987">
            <w:pPr>
              <w:spacing w:line="240" w:lineRule="auto"/>
              <w:rPr>
                <w:rFonts w:cstheme="minorHAnsi"/>
                <w:sz w:val="20"/>
                <w:szCs w:val="20"/>
              </w:rPr>
            </w:pPr>
            <w:r w:rsidRPr="00067C1F">
              <w:rPr>
                <w:rFonts w:cstheme="minorHAnsi"/>
                <w:sz w:val="20"/>
                <w:szCs w:val="20"/>
              </w:rPr>
              <w:t xml:space="preserve">Net surplus and previous two years in surplus with ratio variability less than </w:t>
            </w:r>
            <w:r w:rsidRPr="00067C1F">
              <w:rPr>
                <w:rFonts w:cstheme="minorHAnsi"/>
                <w:b/>
                <w:sz w:val="20"/>
                <w:szCs w:val="20"/>
              </w:rPr>
              <w:t>3</w:t>
            </w:r>
            <w:r w:rsidR="00225277">
              <w:rPr>
                <w:rFonts w:cstheme="minorHAnsi"/>
                <w:b/>
                <w:sz w:val="20"/>
                <w:szCs w:val="20"/>
              </w:rPr>
              <w:t xml:space="preserve">% </w:t>
            </w:r>
            <w:r w:rsidRPr="00067C1F">
              <w:rPr>
                <w:rFonts w:cstheme="minorHAnsi"/>
                <w:sz w:val="20"/>
                <w:szCs w:val="20"/>
              </w:rPr>
              <w:t xml:space="preserve">and an </w:t>
            </w:r>
            <w:r w:rsidRPr="00067C1F">
              <w:rPr>
                <w:rFonts w:cstheme="minorHAnsi"/>
                <w:b/>
                <w:sz w:val="20"/>
                <w:szCs w:val="20"/>
              </w:rPr>
              <w:t>improving</w:t>
            </w:r>
            <w:r w:rsidRPr="00067C1F">
              <w:rPr>
                <w:rFonts w:cstheme="minorHAnsi"/>
                <w:sz w:val="20"/>
                <w:szCs w:val="20"/>
              </w:rPr>
              <w:t xml:space="preserve"> ratio</w:t>
            </w:r>
          </w:p>
          <w:p w14:paraId="3C7D1F70" w14:textId="77777777" w:rsidR="00802652" w:rsidRPr="00067C1F" w:rsidRDefault="00802652" w:rsidP="00C92987">
            <w:pPr>
              <w:spacing w:line="240" w:lineRule="auto"/>
              <w:rPr>
                <w:rFonts w:cstheme="minorHAnsi"/>
                <w:sz w:val="20"/>
                <w:szCs w:val="20"/>
              </w:rPr>
            </w:pPr>
            <w:r w:rsidRPr="00067C1F">
              <w:rPr>
                <w:rFonts w:cstheme="minorHAnsi"/>
                <w:sz w:val="20"/>
                <w:szCs w:val="20"/>
              </w:rPr>
              <w:t>or</w:t>
            </w:r>
          </w:p>
          <w:p w14:paraId="272BD006" w14:textId="77777777" w:rsidR="00802652" w:rsidRPr="00067C1F" w:rsidRDefault="00802652" w:rsidP="00225277">
            <w:pPr>
              <w:spacing w:line="240" w:lineRule="auto"/>
              <w:rPr>
                <w:rFonts w:cs="Arial"/>
                <w:sz w:val="20"/>
                <w:szCs w:val="20"/>
              </w:rPr>
            </w:pPr>
            <w:r w:rsidRPr="00067C1F">
              <w:rPr>
                <w:rFonts w:cstheme="minorHAnsi"/>
                <w:sz w:val="20"/>
                <w:szCs w:val="20"/>
              </w:rPr>
              <w:t xml:space="preserve">Latest net surplus above 20% and previous year in surplus with ratio variability less than </w:t>
            </w:r>
            <w:r w:rsidRPr="00067C1F">
              <w:rPr>
                <w:rFonts w:cstheme="minorHAnsi"/>
                <w:b/>
                <w:sz w:val="20"/>
                <w:szCs w:val="20"/>
              </w:rPr>
              <w:t>5</w:t>
            </w:r>
            <w:r w:rsidR="00225277">
              <w:rPr>
                <w:rFonts w:cstheme="minorHAnsi"/>
                <w:b/>
                <w:sz w:val="20"/>
                <w:szCs w:val="20"/>
              </w:rPr>
              <w:t>%</w:t>
            </w:r>
          </w:p>
        </w:tc>
        <w:tc>
          <w:tcPr>
            <w:tcW w:w="1418" w:type="dxa"/>
          </w:tcPr>
          <w:p w14:paraId="56D842D5" w14:textId="77777777" w:rsidR="00802652" w:rsidRPr="00067C1F" w:rsidRDefault="00802652" w:rsidP="00C92987">
            <w:pPr>
              <w:spacing w:line="240" w:lineRule="auto"/>
              <w:rPr>
                <w:rFonts w:cstheme="minorHAnsi"/>
                <w:sz w:val="20"/>
                <w:szCs w:val="20"/>
              </w:rPr>
            </w:pPr>
            <w:r w:rsidRPr="00067C1F">
              <w:rPr>
                <w:rFonts w:cstheme="minorHAnsi"/>
                <w:sz w:val="20"/>
                <w:szCs w:val="20"/>
              </w:rPr>
              <w:t xml:space="preserve">Net surplus and previous year in surplus with ratio variability less than </w:t>
            </w:r>
            <w:r w:rsidRPr="00067C1F">
              <w:rPr>
                <w:rFonts w:cstheme="minorHAnsi"/>
                <w:b/>
                <w:sz w:val="20"/>
                <w:szCs w:val="20"/>
              </w:rPr>
              <w:t>5</w:t>
            </w:r>
            <w:r w:rsidR="00225277">
              <w:rPr>
                <w:rFonts w:cstheme="minorHAnsi"/>
                <w:b/>
                <w:sz w:val="20"/>
                <w:szCs w:val="20"/>
              </w:rPr>
              <w:t xml:space="preserve">% </w:t>
            </w:r>
            <w:r w:rsidRPr="00067C1F">
              <w:rPr>
                <w:rFonts w:cstheme="minorHAnsi"/>
                <w:sz w:val="20"/>
                <w:szCs w:val="20"/>
              </w:rPr>
              <w:t xml:space="preserve">and an </w:t>
            </w:r>
            <w:r w:rsidRPr="00067C1F">
              <w:rPr>
                <w:rFonts w:cstheme="minorHAnsi"/>
                <w:b/>
                <w:sz w:val="20"/>
                <w:szCs w:val="20"/>
              </w:rPr>
              <w:t>improving</w:t>
            </w:r>
            <w:r w:rsidRPr="00067C1F">
              <w:rPr>
                <w:rFonts w:cstheme="minorHAnsi"/>
                <w:sz w:val="20"/>
                <w:szCs w:val="20"/>
              </w:rPr>
              <w:t xml:space="preserve"> ratio</w:t>
            </w:r>
          </w:p>
          <w:p w14:paraId="4188B840" w14:textId="77777777" w:rsidR="00802652" w:rsidRPr="00067C1F" w:rsidRDefault="00802652" w:rsidP="00C92987">
            <w:pPr>
              <w:spacing w:line="240" w:lineRule="auto"/>
              <w:rPr>
                <w:rFonts w:cstheme="minorHAnsi"/>
                <w:sz w:val="20"/>
                <w:szCs w:val="20"/>
              </w:rPr>
            </w:pPr>
            <w:r w:rsidRPr="00067C1F">
              <w:rPr>
                <w:rFonts w:cstheme="minorHAnsi"/>
                <w:sz w:val="20"/>
                <w:szCs w:val="20"/>
              </w:rPr>
              <w:t>or</w:t>
            </w:r>
          </w:p>
          <w:p w14:paraId="3511450B" w14:textId="77777777" w:rsidR="00802652" w:rsidRPr="00067C1F" w:rsidRDefault="00802652" w:rsidP="00C92987">
            <w:pPr>
              <w:spacing w:line="240" w:lineRule="auto"/>
              <w:rPr>
                <w:rFonts w:cstheme="minorHAnsi"/>
                <w:sz w:val="20"/>
                <w:szCs w:val="20"/>
              </w:rPr>
            </w:pPr>
            <w:r w:rsidRPr="00067C1F">
              <w:rPr>
                <w:rFonts w:cstheme="minorHAnsi"/>
                <w:sz w:val="20"/>
                <w:szCs w:val="20"/>
              </w:rPr>
              <w:t xml:space="preserve">Latest net surplus above 20% and previous year in surplus with ratio variability less than </w:t>
            </w:r>
            <w:r w:rsidRPr="00067C1F">
              <w:rPr>
                <w:rFonts w:cstheme="minorHAnsi"/>
                <w:b/>
                <w:sz w:val="20"/>
                <w:szCs w:val="20"/>
              </w:rPr>
              <w:t>7</w:t>
            </w:r>
            <w:r w:rsidR="00225277">
              <w:rPr>
                <w:rFonts w:cstheme="minorHAnsi"/>
                <w:b/>
                <w:sz w:val="20"/>
                <w:szCs w:val="20"/>
              </w:rPr>
              <w:t>%</w:t>
            </w:r>
          </w:p>
          <w:p w14:paraId="72929002" w14:textId="77777777" w:rsidR="00802652" w:rsidRPr="00067C1F" w:rsidRDefault="00802652" w:rsidP="00C92987">
            <w:pPr>
              <w:spacing w:line="240" w:lineRule="auto"/>
              <w:rPr>
                <w:rFonts w:cstheme="minorHAnsi"/>
                <w:sz w:val="20"/>
                <w:szCs w:val="20"/>
              </w:rPr>
            </w:pPr>
            <w:r w:rsidRPr="00067C1F">
              <w:rPr>
                <w:rFonts w:cstheme="minorHAnsi"/>
                <w:sz w:val="20"/>
                <w:szCs w:val="20"/>
              </w:rPr>
              <w:t>or</w:t>
            </w:r>
          </w:p>
          <w:p w14:paraId="7BAB94D5" w14:textId="77777777" w:rsidR="00802652" w:rsidRPr="00067C1F" w:rsidRDefault="00802652" w:rsidP="004C7831">
            <w:pPr>
              <w:spacing w:line="240" w:lineRule="auto"/>
              <w:rPr>
                <w:rFonts w:cs="Arial"/>
                <w:sz w:val="20"/>
                <w:szCs w:val="20"/>
              </w:rPr>
            </w:pPr>
            <w:r w:rsidRPr="00067C1F">
              <w:rPr>
                <w:rFonts w:cstheme="minorHAnsi"/>
                <w:sz w:val="20"/>
                <w:szCs w:val="20"/>
              </w:rPr>
              <w:t xml:space="preserve">Net surplus and previous two years in surplus with ratio variability less than </w:t>
            </w:r>
            <w:r w:rsidRPr="00067C1F">
              <w:rPr>
                <w:rFonts w:cstheme="minorHAnsi"/>
                <w:b/>
                <w:sz w:val="20"/>
                <w:szCs w:val="20"/>
              </w:rPr>
              <w:t>5</w:t>
            </w:r>
            <w:r w:rsidR="004C7831">
              <w:rPr>
                <w:rFonts w:cstheme="minorHAnsi"/>
                <w:b/>
                <w:sz w:val="20"/>
                <w:szCs w:val="20"/>
              </w:rPr>
              <w:t>%</w:t>
            </w:r>
          </w:p>
        </w:tc>
        <w:tc>
          <w:tcPr>
            <w:tcW w:w="1417" w:type="dxa"/>
          </w:tcPr>
          <w:p w14:paraId="0079B62E" w14:textId="77777777" w:rsidR="00802652" w:rsidRPr="00067C1F" w:rsidRDefault="00802652" w:rsidP="00C92987">
            <w:pPr>
              <w:spacing w:line="240" w:lineRule="auto"/>
              <w:rPr>
                <w:rFonts w:cstheme="minorHAnsi"/>
                <w:sz w:val="20"/>
                <w:szCs w:val="20"/>
              </w:rPr>
            </w:pPr>
            <w:r w:rsidRPr="00067C1F">
              <w:rPr>
                <w:rFonts w:cstheme="minorHAnsi"/>
                <w:sz w:val="20"/>
                <w:szCs w:val="20"/>
              </w:rPr>
              <w:t xml:space="preserve">Net surplus and previous year in surplus or loss with ratio variability less than </w:t>
            </w:r>
            <w:r w:rsidRPr="00067C1F">
              <w:rPr>
                <w:rFonts w:cstheme="minorHAnsi"/>
                <w:b/>
                <w:sz w:val="20"/>
                <w:szCs w:val="20"/>
              </w:rPr>
              <w:t>7</w:t>
            </w:r>
            <w:r w:rsidR="00225277">
              <w:rPr>
                <w:rFonts w:cstheme="minorHAnsi"/>
                <w:b/>
                <w:sz w:val="20"/>
                <w:szCs w:val="20"/>
              </w:rPr>
              <w:t>%</w:t>
            </w:r>
          </w:p>
          <w:p w14:paraId="584EAD7E" w14:textId="77777777" w:rsidR="00802652" w:rsidRPr="00067C1F" w:rsidRDefault="00802652" w:rsidP="00C92987">
            <w:pPr>
              <w:spacing w:line="240" w:lineRule="auto"/>
              <w:rPr>
                <w:rFonts w:cstheme="minorHAnsi"/>
                <w:sz w:val="20"/>
                <w:szCs w:val="20"/>
              </w:rPr>
            </w:pPr>
            <w:r w:rsidRPr="00067C1F">
              <w:rPr>
                <w:rFonts w:cstheme="minorHAnsi"/>
                <w:sz w:val="20"/>
                <w:szCs w:val="20"/>
              </w:rPr>
              <w:t>or</w:t>
            </w:r>
          </w:p>
          <w:p w14:paraId="5D62B01C" w14:textId="77777777" w:rsidR="00802652" w:rsidRPr="00067C1F" w:rsidRDefault="00802652" w:rsidP="00C92987">
            <w:pPr>
              <w:spacing w:line="240" w:lineRule="auto"/>
              <w:rPr>
                <w:rFonts w:cstheme="minorHAnsi"/>
                <w:sz w:val="20"/>
                <w:szCs w:val="20"/>
              </w:rPr>
            </w:pPr>
            <w:r w:rsidRPr="00067C1F">
              <w:rPr>
                <w:rFonts w:cstheme="minorHAnsi"/>
                <w:sz w:val="20"/>
                <w:szCs w:val="20"/>
              </w:rPr>
              <w:t xml:space="preserve">Net loss and ratio variability less than </w:t>
            </w:r>
            <w:r w:rsidRPr="00067C1F">
              <w:rPr>
                <w:rFonts w:cstheme="minorHAnsi"/>
                <w:b/>
                <w:sz w:val="20"/>
                <w:szCs w:val="20"/>
              </w:rPr>
              <w:t>3</w:t>
            </w:r>
            <w:r w:rsidR="00225277">
              <w:rPr>
                <w:rFonts w:cstheme="minorHAnsi"/>
                <w:b/>
                <w:sz w:val="20"/>
                <w:szCs w:val="20"/>
              </w:rPr>
              <w:t>%</w:t>
            </w:r>
          </w:p>
          <w:p w14:paraId="2E0B18B6" w14:textId="77777777" w:rsidR="00802652" w:rsidRPr="00067C1F" w:rsidRDefault="00802652" w:rsidP="00C92987">
            <w:pPr>
              <w:spacing w:line="240" w:lineRule="auto"/>
              <w:rPr>
                <w:rFonts w:cstheme="minorHAnsi"/>
                <w:sz w:val="20"/>
                <w:szCs w:val="20"/>
              </w:rPr>
            </w:pPr>
            <w:r w:rsidRPr="00067C1F">
              <w:rPr>
                <w:rFonts w:cstheme="minorHAnsi"/>
                <w:sz w:val="20"/>
                <w:szCs w:val="20"/>
              </w:rPr>
              <w:t>or</w:t>
            </w:r>
          </w:p>
          <w:p w14:paraId="7ABFBF3A" w14:textId="77777777" w:rsidR="00802652" w:rsidRPr="00067C1F" w:rsidRDefault="00AE34CE" w:rsidP="00C92987">
            <w:pPr>
              <w:spacing w:line="240" w:lineRule="auto"/>
              <w:rPr>
                <w:rFonts w:cstheme="minorHAnsi"/>
                <w:sz w:val="20"/>
                <w:szCs w:val="20"/>
              </w:rPr>
            </w:pPr>
            <w:r>
              <w:rPr>
                <w:rFonts w:cstheme="minorHAnsi"/>
                <w:sz w:val="20"/>
                <w:szCs w:val="20"/>
              </w:rPr>
              <w:t>N</w:t>
            </w:r>
            <w:r w:rsidR="00802652" w:rsidRPr="00067C1F">
              <w:rPr>
                <w:rFonts w:cstheme="minorHAnsi"/>
                <w:sz w:val="20"/>
                <w:szCs w:val="20"/>
              </w:rPr>
              <w:t xml:space="preserve">et surplus and ratio variability less than </w:t>
            </w:r>
            <w:r w:rsidR="00802652" w:rsidRPr="00067C1F">
              <w:rPr>
                <w:rFonts w:cstheme="minorHAnsi"/>
                <w:b/>
                <w:sz w:val="20"/>
                <w:szCs w:val="20"/>
              </w:rPr>
              <w:t>10</w:t>
            </w:r>
            <w:r w:rsidR="00225277">
              <w:rPr>
                <w:rFonts w:cstheme="minorHAnsi"/>
                <w:b/>
                <w:sz w:val="20"/>
                <w:szCs w:val="20"/>
              </w:rPr>
              <w:t>%</w:t>
            </w:r>
          </w:p>
          <w:p w14:paraId="29180E5B" w14:textId="77777777" w:rsidR="00802652" w:rsidRPr="00067C1F" w:rsidRDefault="00802652" w:rsidP="00C92987">
            <w:pPr>
              <w:spacing w:line="240" w:lineRule="auto"/>
              <w:rPr>
                <w:rFonts w:cstheme="minorHAnsi"/>
                <w:sz w:val="20"/>
                <w:szCs w:val="20"/>
              </w:rPr>
            </w:pPr>
            <w:r w:rsidRPr="00067C1F">
              <w:rPr>
                <w:rFonts w:cstheme="minorHAnsi"/>
                <w:sz w:val="20"/>
                <w:szCs w:val="20"/>
              </w:rPr>
              <w:t>or</w:t>
            </w:r>
          </w:p>
          <w:p w14:paraId="1AEB7D52" w14:textId="77777777" w:rsidR="00802652" w:rsidRDefault="00802652" w:rsidP="00225277">
            <w:pPr>
              <w:spacing w:line="240" w:lineRule="auto"/>
              <w:rPr>
                <w:rFonts w:cstheme="minorHAnsi"/>
                <w:sz w:val="20"/>
                <w:szCs w:val="20"/>
              </w:rPr>
            </w:pPr>
            <w:r w:rsidRPr="00067C1F">
              <w:rPr>
                <w:rFonts w:cstheme="minorHAnsi"/>
                <w:sz w:val="20"/>
                <w:szCs w:val="20"/>
              </w:rPr>
              <w:t xml:space="preserve">Net surplus and previous two years in surplus with ratio variability </w:t>
            </w:r>
            <w:r w:rsidRPr="00067C1F">
              <w:rPr>
                <w:rFonts w:cstheme="minorHAnsi"/>
                <w:b/>
                <w:sz w:val="20"/>
                <w:szCs w:val="20"/>
              </w:rPr>
              <w:t>5</w:t>
            </w:r>
            <w:r w:rsidR="00225277">
              <w:rPr>
                <w:rFonts w:cstheme="minorHAnsi"/>
                <w:b/>
                <w:sz w:val="20"/>
                <w:szCs w:val="20"/>
              </w:rPr>
              <w:t xml:space="preserve">% </w:t>
            </w:r>
            <w:r w:rsidRPr="00067C1F">
              <w:rPr>
                <w:rFonts w:cstheme="minorHAnsi"/>
                <w:sz w:val="20"/>
                <w:szCs w:val="20"/>
              </w:rPr>
              <w:t>and above</w:t>
            </w:r>
          </w:p>
          <w:p w14:paraId="57337879" w14:textId="77777777" w:rsidR="005D2EFE" w:rsidRDefault="005D2EFE" w:rsidP="00225277">
            <w:pPr>
              <w:spacing w:line="240" w:lineRule="auto"/>
              <w:rPr>
                <w:rFonts w:cstheme="minorHAnsi"/>
                <w:sz w:val="20"/>
                <w:szCs w:val="20"/>
              </w:rPr>
            </w:pPr>
            <w:r>
              <w:rPr>
                <w:rFonts w:cstheme="minorHAnsi"/>
                <w:sz w:val="20"/>
                <w:szCs w:val="20"/>
              </w:rPr>
              <w:t>or</w:t>
            </w:r>
          </w:p>
          <w:p w14:paraId="6CA190F2" w14:textId="77777777" w:rsidR="005D2EFE" w:rsidRPr="00067C1F" w:rsidRDefault="005D2EFE" w:rsidP="00225277">
            <w:pPr>
              <w:spacing w:line="240" w:lineRule="auto"/>
              <w:rPr>
                <w:rFonts w:cs="Arial"/>
                <w:sz w:val="20"/>
                <w:szCs w:val="20"/>
              </w:rPr>
            </w:pPr>
            <w:r>
              <w:rPr>
                <w:rFonts w:cstheme="minorHAnsi"/>
                <w:sz w:val="20"/>
                <w:szCs w:val="20"/>
              </w:rPr>
              <w:t>New provider (with no comparatives)</w:t>
            </w:r>
          </w:p>
        </w:tc>
        <w:tc>
          <w:tcPr>
            <w:tcW w:w="1426" w:type="dxa"/>
            <w:gridSpan w:val="2"/>
          </w:tcPr>
          <w:p w14:paraId="0D428FB3" w14:textId="77777777" w:rsidR="00802652" w:rsidRPr="00067C1F" w:rsidRDefault="00802652" w:rsidP="00C92987">
            <w:pPr>
              <w:spacing w:line="240" w:lineRule="auto"/>
              <w:rPr>
                <w:rFonts w:cstheme="minorHAnsi"/>
                <w:sz w:val="20"/>
                <w:szCs w:val="20"/>
              </w:rPr>
            </w:pPr>
            <w:r w:rsidRPr="00067C1F">
              <w:rPr>
                <w:rFonts w:cstheme="minorHAnsi"/>
                <w:sz w:val="20"/>
                <w:szCs w:val="20"/>
              </w:rPr>
              <w:t xml:space="preserve">Net surplus and ratio variability </w:t>
            </w:r>
            <w:r w:rsidR="00225277">
              <w:rPr>
                <w:rFonts w:cstheme="minorHAnsi"/>
                <w:b/>
                <w:sz w:val="20"/>
                <w:szCs w:val="20"/>
              </w:rPr>
              <w:t>7%</w:t>
            </w:r>
            <w:r w:rsidRPr="00067C1F">
              <w:rPr>
                <w:rFonts w:cstheme="minorHAnsi"/>
                <w:sz w:val="20"/>
                <w:szCs w:val="20"/>
              </w:rPr>
              <w:t xml:space="preserve"> and above</w:t>
            </w:r>
          </w:p>
          <w:p w14:paraId="4D8F7C33" w14:textId="77777777" w:rsidR="00802652" w:rsidRPr="00067C1F" w:rsidRDefault="00802652" w:rsidP="00C92987">
            <w:pPr>
              <w:spacing w:line="240" w:lineRule="auto"/>
              <w:rPr>
                <w:rFonts w:cstheme="minorHAnsi"/>
                <w:sz w:val="20"/>
                <w:szCs w:val="20"/>
              </w:rPr>
            </w:pPr>
            <w:r w:rsidRPr="00067C1F">
              <w:rPr>
                <w:rFonts w:cstheme="minorHAnsi"/>
                <w:sz w:val="20"/>
                <w:szCs w:val="20"/>
              </w:rPr>
              <w:t>or</w:t>
            </w:r>
          </w:p>
          <w:p w14:paraId="149C96E2" w14:textId="77777777" w:rsidR="00802652" w:rsidRPr="00067C1F" w:rsidRDefault="00802652" w:rsidP="00C92987">
            <w:pPr>
              <w:spacing w:line="240" w:lineRule="auto"/>
              <w:rPr>
                <w:rFonts w:cstheme="minorHAnsi"/>
                <w:sz w:val="20"/>
                <w:szCs w:val="20"/>
              </w:rPr>
            </w:pPr>
            <w:r w:rsidRPr="00067C1F">
              <w:rPr>
                <w:rFonts w:cstheme="minorHAnsi"/>
                <w:sz w:val="20"/>
                <w:szCs w:val="20"/>
              </w:rPr>
              <w:t xml:space="preserve">Net loss and ratio variability </w:t>
            </w:r>
            <w:r w:rsidR="00225277">
              <w:rPr>
                <w:rFonts w:cstheme="minorHAnsi"/>
                <w:b/>
                <w:sz w:val="20"/>
                <w:szCs w:val="20"/>
              </w:rPr>
              <w:t xml:space="preserve">3% </w:t>
            </w:r>
            <w:r w:rsidRPr="00067C1F">
              <w:rPr>
                <w:rFonts w:cstheme="minorHAnsi"/>
                <w:sz w:val="20"/>
                <w:szCs w:val="20"/>
              </w:rPr>
              <w:t>and above</w:t>
            </w:r>
          </w:p>
          <w:p w14:paraId="56551439" w14:textId="77777777" w:rsidR="00802652" w:rsidRPr="00067C1F" w:rsidRDefault="00802652" w:rsidP="00C92987">
            <w:pPr>
              <w:spacing w:line="240" w:lineRule="auto"/>
              <w:rPr>
                <w:rFonts w:cstheme="minorHAnsi"/>
                <w:sz w:val="20"/>
                <w:szCs w:val="20"/>
              </w:rPr>
            </w:pPr>
            <w:r w:rsidRPr="00067C1F">
              <w:rPr>
                <w:rFonts w:cstheme="minorHAnsi"/>
                <w:sz w:val="20"/>
                <w:szCs w:val="20"/>
              </w:rPr>
              <w:t>or</w:t>
            </w:r>
          </w:p>
          <w:p w14:paraId="18F5AA6C" w14:textId="77777777" w:rsidR="00802652" w:rsidRPr="00067C1F" w:rsidRDefault="00802652" w:rsidP="00C92987">
            <w:pPr>
              <w:spacing w:line="240" w:lineRule="auto"/>
              <w:rPr>
                <w:rFonts w:cstheme="minorHAnsi"/>
                <w:sz w:val="20"/>
                <w:szCs w:val="20"/>
              </w:rPr>
            </w:pPr>
            <w:r w:rsidRPr="00067C1F">
              <w:rPr>
                <w:rFonts w:cstheme="minorHAnsi"/>
                <w:sz w:val="20"/>
                <w:szCs w:val="20"/>
              </w:rPr>
              <w:t>Net loss greater than 50% of previous year’s total equity and previous year is a loss</w:t>
            </w:r>
          </w:p>
          <w:p w14:paraId="2397B14D" w14:textId="77777777" w:rsidR="00802652" w:rsidRPr="00067C1F" w:rsidRDefault="00802652" w:rsidP="00C92987">
            <w:pPr>
              <w:spacing w:line="240" w:lineRule="auto"/>
              <w:rPr>
                <w:rFonts w:cstheme="minorHAnsi"/>
                <w:sz w:val="20"/>
                <w:szCs w:val="20"/>
              </w:rPr>
            </w:pPr>
            <w:r w:rsidRPr="00067C1F">
              <w:rPr>
                <w:rFonts w:cstheme="minorHAnsi"/>
                <w:sz w:val="20"/>
                <w:szCs w:val="20"/>
              </w:rPr>
              <w:t>or</w:t>
            </w:r>
          </w:p>
          <w:p w14:paraId="0D799611" w14:textId="77777777" w:rsidR="00802652" w:rsidRPr="00067C1F" w:rsidRDefault="00802652" w:rsidP="00C92987">
            <w:pPr>
              <w:spacing w:line="240" w:lineRule="auto"/>
              <w:rPr>
                <w:rFonts w:cs="Arial"/>
                <w:sz w:val="20"/>
                <w:szCs w:val="20"/>
              </w:rPr>
            </w:pPr>
            <w:r w:rsidRPr="00067C1F">
              <w:rPr>
                <w:rFonts w:cstheme="minorHAnsi"/>
                <w:sz w:val="20"/>
                <w:szCs w:val="20"/>
              </w:rPr>
              <w:t>Net loss and previous two years of losses</w:t>
            </w:r>
          </w:p>
        </w:tc>
        <w:tc>
          <w:tcPr>
            <w:tcW w:w="1409" w:type="dxa"/>
            <w:shd w:val="clear" w:color="auto" w:fill="F2F2F2" w:themeFill="background1" w:themeFillShade="F2"/>
          </w:tcPr>
          <w:p w14:paraId="0C7EBB68" w14:textId="77777777" w:rsidR="00802652" w:rsidRPr="00067C1F" w:rsidRDefault="00802652" w:rsidP="00C92987">
            <w:pPr>
              <w:spacing w:line="240" w:lineRule="auto"/>
              <w:rPr>
                <w:rFonts w:cs="Arial"/>
                <w:sz w:val="20"/>
                <w:szCs w:val="20"/>
              </w:rPr>
            </w:pPr>
          </w:p>
        </w:tc>
        <w:tc>
          <w:tcPr>
            <w:tcW w:w="4820" w:type="dxa"/>
          </w:tcPr>
          <w:p w14:paraId="74E84537" w14:textId="77777777" w:rsidR="00802652" w:rsidRPr="001C7C7E" w:rsidRDefault="00802652" w:rsidP="00C92987">
            <w:pPr>
              <w:spacing w:line="240" w:lineRule="auto"/>
              <w:rPr>
                <w:rFonts w:cstheme="minorHAnsi"/>
                <w:sz w:val="20"/>
                <w:szCs w:val="20"/>
              </w:rPr>
            </w:pPr>
            <w:r w:rsidRPr="001C7C7E">
              <w:rPr>
                <w:rFonts w:cs="Arial"/>
                <w:sz w:val="20"/>
                <w:szCs w:val="20"/>
              </w:rPr>
              <w:t xml:space="preserve">Looks at changes to the </w:t>
            </w:r>
            <w:r w:rsidRPr="001C7C7E">
              <w:rPr>
                <w:rFonts w:cs="Arial"/>
                <w:i/>
                <w:sz w:val="20"/>
                <w:szCs w:val="20"/>
              </w:rPr>
              <w:t>Net surplus after tax to total revenue ratio</w:t>
            </w:r>
            <w:r w:rsidRPr="001C7C7E">
              <w:rPr>
                <w:rFonts w:cs="Arial"/>
                <w:sz w:val="20"/>
                <w:szCs w:val="20"/>
              </w:rPr>
              <w:t xml:space="preserve"> over time and the direction of travel</w:t>
            </w:r>
            <w:r w:rsidR="00F53358">
              <w:rPr>
                <w:rFonts w:cs="Arial"/>
                <w:sz w:val="20"/>
                <w:szCs w:val="20"/>
              </w:rPr>
              <w:t>.</w:t>
            </w:r>
          </w:p>
          <w:p w14:paraId="0DB45747" w14:textId="77777777" w:rsidR="00802652" w:rsidRPr="005124F3" w:rsidRDefault="00802652" w:rsidP="00C92987">
            <w:pPr>
              <w:spacing w:line="240" w:lineRule="auto"/>
              <w:rPr>
                <w:rFonts w:cs="Arial"/>
                <w:sz w:val="20"/>
                <w:szCs w:val="20"/>
              </w:rPr>
            </w:pPr>
            <w:r w:rsidRPr="00C679DF">
              <w:rPr>
                <w:rFonts w:cstheme="minorHAnsi"/>
                <w:sz w:val="20"/>
                <w:szCs w:val="20"/>
              </w:rPr>
              <w:t>Must have all characteristics</w:t>
            </w:r>
            <w:r w:rsidRPr="005124F3">
              <w:rPr>
                <w:rFonts w:cs="Arial"/>
                <w:sz w:val="20"/>
                <w:szCs w:val="20"/>
              </w:rPr>
              <w:t xml:space="preserve">. If all the characteristics in a </w:t>
            </w:r>
            <w:r>
              <w:rPr>
                <w:rFonts w:cs="Arial"/>
                <w:sz w:val="20"/>
                <w:szCs w:val="20"/>
              </w:rPr>
              <w:t>column</w:t>
            </w:r>
            <w:r w:rsidRPr="005124F3">
              <w:rPr>
                <w:rFonts w:cs="Arial"/>
                <w:sz w:val="20"/>
                <w:szCs w:val="20"/>
              </w:rPr>
              <w:t xml:space="preserve"> are not present then test the next </w:t>
            </w:r>
            <w:r>
              <w:rPr>
                <w:rFonts w:cs="Arial"/>
                <w:sz w:val="20"/>
                <w:szCs w:val="20"/>
              </w:rPr>
              <w:t>column</w:t>
            </w:r>
            <w:r w:rsidRPr="005124F3">
              <w:rPr>
                <w:rFonts w:cs="Arial"/>
                <w:sz w:val="20"/>
                <w:szCs w:val="20"/>
              </w:rPr>
              <w:t>.</w:t>
            </w:r>
          </w:p>
          <w:p w14:paraId="5A8501DA" w14:textId="77777777" w:rsidR="00802652" w:rsidRPr="00FE0971" w:rsidRDefault="00802652" w:rsidP="004C7831">
            <w:pPr>
              <w:spacing w:line="240" w:lineRule="auto"/>
              <w:rPr>
                <w:rFonts w:cs="Arial"/>
                <w:sz w:val="20"/>
                <w:szCs w:val="20"/>
              </w:rPr>
            </w:pPr>
            <w:r w:rsidRPr="005124F3">
              <w:rPr>
                <w:rFonts w:cs="Arial"/>
                <w:sz w:val="20"/>
                <w:szCs w:val="20"/>
              </w:rPr>
              <w:t>If a PTE made a 5% surplus in one year and an 8% surplus in the next year the difference is</w:t>
            </w:r>
            <w:r w:rsidR="004C7831">
              <w:rPr>
                <w:rFonts w:cs="Arial"/>
                <w:sz w:val="20"/>
                <w:szCs w:val="20"/>
              </w:rPr>
              <w:t xml:space="preserve"> +3% </w:t>
            </w:r>
            <w:r w:rsidR="00FE0971">
              <w:rPr>
                <w:rFonts w:cs="Arial"/>
                <w:sz w:val="20"/>
                <w:szCs w:val="20"/>
              </w:rPr>
              <w:t>(+300 basis points).</w:t>
            </w:r>
          </w:p>
        </w:tc>
      </w:tr>
      <w:tr w:rsidR="00802652" w:rsidRPr="00C966A2" w14:paraId="2A7F0040" w14:textId="77777777" w:rsidTr="002159ED">
        <w:tc>
          <w:tcPr>
            <w:tcW w:w="426" w:type="dxa"/>
          </w:tcPr>
          <w:p w14:paraId="42C4BF4F" w14:textId="77777777" w:rsidR="00802652" w:rsidRPr="00C966A2" w:rsidRDefault="00802652" w:rsidP="00C92987">
            <w:pPr>
              <w:spacing w:line="240" w:lineRule="auto"/>
              <w:rPr>
                <w:rFonts w:cs="Arial"/>
                <w:sz w:val="20"/>
                <w:szCs w:val="20"/>
              </w:rPr>
            </w:pPr>
            <w:r w:rsidRPr="00C966A2">
              <w:rPr>
                <w:rFonts w:cs="Arial"/>
                <w:sz w:val="20"/>
                <w:szCs w:val="20"/>
              </w:rPr>
              <w:t>9</w:t>
            </w:r>
          </w:p>
        </w:tc>
        <w:tc>
          <w:tcPr>
            <w:tcW w:w="1743" w:type="dxa"/>
          </w:tcPr>
          <w:p w14:paraId="10EC0920" w14:textId="77777777" w:rsidR="00067C1F" w:rsidRDefault="00802652" w:rsidP="00C92987">
            <w:pPr>
              <w:spacing w:line="240" w:lineRule="auto"/>
              <w:rPr>
                <w:rFonts w:cs="Arial"/>
                <w:i/>
                <w:sz w:val="20"/>
                <w:szCs w:val="20"/>
              </w:rPr>
            </w:pPr>
            <w:r w:rsidRPr="00C966A2">
              <w:rPr>
                <w:rFonts w:cs="Arial"/>
                <w:sz w:val="20"/>
                <w:szCs w:val="20"/>
              </w:rPr>
              <w:t>Shareholders’ funds ratio</w:t>
            </w:r>
          </w:p>
          <w:p w14:paraId="4A26D8C8" w14:textId="77777777" w:rsidR="00802652" w:rsidRPr="00C966A2" w:rsidRDefault="00802652" w:rsidP="00C92987">
            <w:pPr>
              <w:spacing w:line="240" w:lineRule="auto"/>
              <w:rPr>
                <w:rFonts w:cs="Arial"/>
                <w:sz w:val="20"/>
                <w:szCs w:val="20"/>
              </w:rPr>
            </w:pPr>
            <w:r w:rsidRPr="003F2683">
              <w:rPr>
                <w:rFonts w:cs="Arial"/>
                <w:i/>
                <w:sz w:val="20"/>
                <w:szCs w:val="20"/>
              </w:rPr>
              <w:t xml:space="preserve">Total equity </w:t>
            </w:r>
            <w:r>
              <w:rPr>
                <w:rFonts w:cs="Arial"/>
                <w:i/>
                <w:sz w:val="20"/>
                <w:szCs w:val="20"/>
              </w:rPr>
              <w:t>minus</w:t>
            </w:r>
            <w:r w:rsidRPr="003F2683">
              <w:rPr>
                <w:rFonts w:cs="Arial"/>
                <w:i/>
                <w:sz w:val="20"/>
                <w:szCs w:val="20"/>
              </w:rPr>
              <w:t xml:space="preserve"> intangibles</w:t>
            </w:r>
            <w:r>
              <w:rPr>
                <w:rFonts w:cs="Arial"/>
                <w:i/>
                <w:sz w:val="20"/>
                <w:szCs w:val="20"/>
              </w:rPr>
              <w:t>)</w:t>
            </w:r>
            <w:proofErr w:type="gramStart"/>
            <w:r w:rsidRPr="003F2683">
              <w:rPr>
                <w:rFonts w:cs="Arial"/>
                <w:i/>
                <w:sz w:val="20"/>
                <w:szCs w:val="20"/>
              </w:rPr>
              <w:t>/</w:t>
            </w:r>
            <w:r>
              <w:rPr>
                <w:rFonts w:cs="Arial"/>
                <w:i/>
                <w:sz w:val="20"/>
                <w:szCs w:val="20"/>
              </w:rPr>
              <w:t>(</w:t>
            </w:r>
            <w:proofErr w:type="gramEnd"/>
            <w:r w:rsidRPr="003F2683">
              <w:rPr>
                <w:rFonts w:cs="Arial"/>
                <w:i/>
                <w:sz w:val="20"/>
                <w:szCs w:val="20"/>
              </w:rPr>
              <w:t xml:space="preserve">Total assets </w:t>
            </w:r>
            <w:r>
              <w:rPr>
                <w:rFonts w:cs="Arial"/>
                <w:i/>
                <w:sz w:val="20"/>
                <w:szCs w:val="20"/>
              </w:rPr>
              <w:t>minus</w:t>
            </w:r>
            <w:r w:rsidRPr="003F2683">
              <w:rPr>
                <w:rFonts w:cs="Arial"/>
                <w:i/>
                <w:sz w:val="20"/>
                <w:szCs w:val="20"/>
              </w:rPr>
              <w:t xml:space="preserve"> intangibles </w:t>
            </w:r>
            <w:r>
              <w:rPr>
                <w:rFonts w:cs="Arial"/>
                <w:i/>
                <w:sz w:val="20"/>
                <w:szCs w:val="20"/>
              </w:rPr>
              <w:t>minus</w:t>
            </w:r>
            <w:r w:rsidRPr="003F2683">
              <w:rPr>
                <w:rFonts w:cs="Arial"/>
                <w:i/>
                <w:sz w:val="20"/>
                <w:szCs w:val="20"/>
              </w:rPr>
              <w:t xml:space="preserve"> pre-paid fees</w:t>
            </w:r>
            <w:r w:rsidRPr="000A7DB2">
              <w:rPr>
                <w:rFonts w:cs="Arial"/>
                <w:sz w:val="20"/>
                <w:szCs w:val="20"/>
              </w:rPr>
              <w:t xml:space="preserve"> (liability)</w:t>
            </w:r>
            <w:r>
              <w:rPr>
                <w:rFonts w:cs="Arial"/>
                <w:sz w:val="20"/>
                <w:szCs w:val="20"/>
              </w:rPr>
              <w:t>)</w:t>
            </w:r>
          </w:p>
        </w:tc>
        <w:tc>
          <w:tcPr>
            <w:tcW w:w="1375" w:type="dxa"/>
          </w:tcPr>
          <w:p w14:paraId="4F57476C" w14:textId="77777777" w:rsidR="00802652" w:rsidRPr="00C966A2" w:rsidRDefault="00802652" w:rsidP="00C92987">
            <w:pPr>
              <w:spacing w:line="240" w:lineRule="auto"/>
              <w:rPr>
                <w:rFonts w:cs="Arial"/>
                <w:sz w:val="20"/>
                <w:szCs w:val="20"/>
              </w:rPr>
            </w:pPr>
            <w:r w:rsidRPr="00C966A2">
              <w:rPr>
                <w:rFonts w:cs="Arial"/>
                <w:sz w:val="20"/>
                <w:szCs w:val="20"/>
              </w:rPr>
              <w:t>75%+</w:t>
            </w:r>
          </w:p>
        </w:tc>
        <w:tc>
          <w:tcPr>
            <w:tcW w:w="1418" w:type="dxa"/>
          </w:tcPr>
          <w:p w14:paraId="625BE11C" w14:textId="77777777" w:rsidR="00802652" w:rsidRPr="00C966A2" w:rsidRDefault="00802652" w:rsidP="00C92987">
            <w:pPr>
              <w:spacing w:line="240" w:lineRule="auto"/>
              <w:rPr>
                <w:rFonts w:cs="Arial"/>
                <w:sz w:val="20"/>
                <w:szCs w:val="20"/>
              </w:rPr>
            </w:pPr>
            <w:r w:rsidRPr="00C966A2">
              <w:rPr>
                <w:rFonts w:cs="Arial"/>
                <w:sz w:val="20"/>
                <w:szCs w:val="20"/>
              </w:rPr>
              <w:t xml:space="preserve">60% to </w:t>
            </w:r>
            <w:r>
              <w:rPr>
                <w:rFonts w:cs="Arial"/>
                <w:sz w:val="20"/>
                <w:szCs w:val="20"/>
              </w:rPr>
              <w:t xml:space="preserve">less than </w:t>
            </w:r>
            <w:r w:rsidRPr="00C966A2">
              <w:rPr>
                <w:rFonts w:cs="Arial"/>
                <w:sz w:val="20"/>
                <w:szCs w:val="20"/>
              </w:rPr>
              <w:t>75%</w:t>
            </w:r>
          </w:p>
        </w:tc>
        <w:tc>
          <w:tcPr>
            <w:tcW w:w="1417" w:type="dxa"/>
          </w:tcPr>
          <w:p w14:paraId="79D7D811" w14:textId="77777777" w:rsidR="00802652" w:rsidRPr="00C966A2" w:rsidRDefault="00802652" w:rsidP="00C92987">
            <w:pPr>
              <w:spacing w:line="240" w:lineRule="auto"/>
              <w:rPr>
                <w:rFonts w:cs="Arial"/>
                <w:sz w:val="20"/>
                <w:szCs w:val="20"/>
              </w:rPr>
            </w:pPr>
            <w:r w:rsidRPr="00C966A2">
              <w:rPr>
                <w:rFonts w:cs="Arial"/>
                <w:sz w:val="20"/>
                <w:szCs w:val="20"/>
              </w:rPr>
              <w:t xml:space="preserve">40% to </w:t>
            </w:r>
            <w:r>
              <w:rPr>
                <w:rFonts w:cs="Arial"/>
                <w:sz w:val="20"/>
                <w:szCs w:val="20"/>
              </w:rPr>
              <w:t xml:space="preserve">less than </w:t>
            </w:r>
            <w:r w:rsidRPr="00C966A2">
              <w:rPr>
                <w:rFonts w:cs="Arial"/>
                <w:sz w:val="20"/>
                <w:szCs w:val="20"/>
              </w:rPr>
              <w:t>60%</w:t>
            </w:r>
          </w:p>
        </w:tc>
        <w:tc>
          <w:tcPr>
            <w:tcW w:w="1418" w:type="dxa"/>
          </w:tcPr>
          <w:p w14:paraId="68890FC4" w14:textId="77777777" w:rsidR="00802652" w:rsidRPr="00C966A2" w:rsidRDefault="00802652" w:rsidP="00C92987">
            <w:pPr>
              <w:spacing w:line="240" w:lineRule="auto"/>
              <w:rPr>
                <w:rFonts w:cs="Arial"/>
                <w:sz w:val="20"/>
                <w:szCs w:val="20"/>
              </w:rPr>
            </w:pPr>
            <w:r w:rsidRPr="00C966A2">
              <w:rPr>
                <w:rFonts w:cs="Arial"/>
                <w:sz w:val="20"/>
                <w:szCs w:val="20"/>
              </w:rPr>
              <w:t>Less than 40%</w:t>
            </w:r>
          </w:p>
        </w:tc>
        <w:tc>
          <w:tcPr>
            <w:tcW w:w="1417" w:type="dxa"/>
            <w:gridSpan w:val="2"/>
          </w:tcPr>
          <w:p w14:paraId="6D2EBB53" w14:textId="77777777" w:rsidR="00802652" w:rsidRPr="00C966A2" w:rsidRDefault="00802652" w:rsidP="00C92987">
            <w:pPr>
              <w:spacing w:line="240" w:lineRule="auto"/>
              <w:rPr>
                <w:rFonts w:cs="Arial"/>
                <w:sz w:val="20"/>
                <w:szCs w:val="20"/>
              </w:rPr>
            </w:pPr>
            <w:r w:rsidRPr="00C966A2">
              <w:rPr>
                <w:rFonts w:cs="Arial"/>
                <w:sz w:val="20"/>
                <w:szCs w:val="20"/>
              </w:rPr>
              <w:t>Zero or less</w:t>
            </w:r>
          </w:p>
        </w:tc>
        <w:tc>
          <w:tcPr>
            <w:tcW w:w="4820" w:type="dxa"/>
          </w:tcPr>
          <w:p w14:paraId="34D55949" w14:textId="77777777" w:rsidR="00067C1F" w:rsidRDefault="00067C1F" w:rsidP="00C92987">
            <w:pPr>
              <w:spacing w:line="240" w:lineRule="auto"/>
              <w:rPr>
                <w:rFonts w:cs="Arial"/>
                <w:sz w:val="20"/>
                <w:szCs w:val="20"/>
              </w:rPr>
            </w:pPr>
            <w:r>
              <w:rPr>
                <w:rFonts w:cs="Arial"/>
                <w:sz w:val="20"/>
                <w:szCs w:val="20"/>
              </w:rPr>
              <w:t xml:space="preserve">Is </w:t>
            </w:r>
            <w:r w:rsidRPr="004F2E72">
              <w:rPr>
                <w:rFonts w:cs="Arial"/>
                <w:sz w:val="20"/>
                <w:szCs w:val="20"/>
              </w:rPr>
              <w:t>Net tangible assets/Total tangible</w:t>
            </w:r>
            <w:r>
              <w:rPr>
                <w:rFonts w:cs="Arial"/>
                <w:sz w:val="20"/>
                <w:szCs w:val="20"/>
              </w:rPr>
              <w:t xml:space="preserve"> assets.</w:t>
            </w:r>
          </w:p>
          <w:p w14:paraId="77CF225A" w14:textId="77777777" w:rsidR="00802652" w:rsidRPr="00AE32EC" w:rsidRDefault="00802652" w:rsidP="00C92987">
            <w:pPr>
              <w:spacing w:line="240" w:lineRule="auto"/>
              <w:rPr>
                <w:rFonts w:cs="Arial"/>
                <w:sz w:val="20"/>
                <w:szCs w:val="20"/>
              </w:rPr>
            </w:pPr>
            <w:r>
              <w:rPr>
                <w:rFonts w:cs="Arial"/>
                <w:sz w:val="20"/>
                <w:szCs w:val="20"/>
              </w:rPr>
              <w:t>I</w:t>
            </w:r>
            <w:r w:rsidRPr="00AE32EC">
              <w:rPr>
                <w:rFonts w:cs="Arial"/>
                <w:sz w:val="20"/>
                <w:szCs w:val="20"/>
              </w:rPr>
              <w:t xml:space="preserve">ndicates the level of shareholder investment in a PTE and of debt financing being relied upon. In the event of windup shareholder funds or net assets indicates </w:t>
            </w:r>
            <w:r w:rsidR="00FE36E5" w:rsidRPr="00AE32EC">
              <w:rPr>
                <w:rFonts w:cs="Arial"/>
                <w:sz w:val="20"/>
                <w:szCs w:val="20"/>
              </w:rPr>
              <w:t>a PTE’s</w:t>
            </w:r>
            <w:r w:rsidRPr="00AE32EC">
              <w:rPr>
                <w:rFonts w:cs="Arial"/>
                <w:sz w:val="20"/>
                <w:szCs w:val="20"/>
              </w:rPr>
              <w:t xml:space="preserve"> ability to me</w:t>
            </w:r>
            <w:r>
              <w:rPr>
                <w:rFonts w:cs="Arial"/>
                <w:sz w:val="20"/>
                <w:szCs w:val="20"/>
              </w:rPr>
              <w:t>et its outstanding obligations.</w:t>
            </w:r>
          </w:p>
          <w:p w14:paraId="6065D8EB" w14:textId="77777777" w:rsidR="00802652" w:rsidRPr="00AE32EC" w:rsidRDefault="00802652" w:rsidP="00C92987">
            <w:pPr>
              <w:spacing w:line="240" w:lineRule="auto"/>
              <w:rPr>
                <w:rFonts w:cs="Arial"/>
                <w:sz w:val="20"/>
                <w:szCs w:val="20"/>
              </w:rPr>
            </w:pPr>
            <w:r w:rsidRPr="00AE32EC">
              <w:rPr>
                <w:rFonts w:cs="Arial"/>
                <w:sz w:val="20"/>
                <w:szCs w:val="20"/>
              </w:rPr>
              <w:t xml:space="preserve">Negative shareholders’ funds </w:t>
            </w:r>
            <w:proofErr w:type="gramStart"/>
            <w:r w:rsidRPr="00AE32EC">
              <w:rPr>
                <w:rFonts w:cs="Arial"/>
                <w:sz w:val="20"/>
                <w:szCs w:val="20"/>
              </w:rPr>
              <w:t>indicat</w:t>
            </w:r>
            <w:r>
              <w:rPr>
                <w:rFonts w:cs="Arial"/>
                <w:sz w:val="20"/>
                <w:szCs w:val="20"/>
              </w:rPr>
              <w:t>es</w:t>
            </w:r>
            <w:proofErr w:type="gramEnd"/>
            <w:r w:rsidRPr="00AE32EC">
              <w:rPr>
                <w:rFonts w:cs="Arial"/>
                <w:sz w:val="20"/>
                <w:szCs w:val="20"/>
              </w:rPr>
              <w:t xml:space="preserve"> insolvency.</w:t>
            </w:r>
          </w:p>
          <w:p w14:paraId="3E3FA3E3" w14:textId="77777777" w:rsidR="00802652" w:rsidRPr="00C966A2" w:rsidRDefault="00802652" w:rsidP="00C92987">
            <w:pPr>
              <w:spacing w:line="240" w:lineRule="auto"/>
              <w:rPr>
                <w:rFonts w:cs="Arial"/>
                <w:sz w:val="20"/>
                <w:szCs w:val="20"/>
              </w:rPr>
            </w:pPr>
            <w:r>
              <w:rPr>
                <w:rFonts w:cs="Arial"/>
                <w:sz w:val="20"/>
                <w:szCs w:val="20"/>
              </w:rPr>
              <w:t xml:space="preserve">Exclude </w:t>
            </w:r>
            <w:r w:rsidRPr="000A7DB2">
              <w:rPr>
                <w:rFonts w:cs="Arial"/>
                <w:sz w:val="20"/>
                <w:szCs w:val="20"/>
              </w:rPr>
              <w:t>Trust funds from total tangible assets if the amounts are material</w:t>
            </w:r>
            <w:r>
              <w:rPr>
                <w:rFonts w:cs="Arial"/>
                <w:sz w:val="20"/>
                <w:szCs w:val="20"/>
              </w:rPr>
              <w:t xml:space="preserve">. </w:t>
            </w:r>
            <w:r w:rsidRPr="000A7DB2">
              <w:rPr>
                <w:rFonts w:cs="Arial"/>
                <w:sz w:val="20"/>
                <w:szCs w:val="20"/>
              </w:rPr>
              <w:t>Equity excludes Shareholder current accounts</w:t>
            </w:r>
            <w:r>
              <w:rPr>
                <w:rFonts w:cs="Arial"/>
                <w:sz w:val="20"/>
                <w:szCs w:val="20"/>
              </w:rPr>
              <w:t>.</w:t>
            </w:r>
          </w:p>
        </w:tc>
      </w:tr>
      <w:tr w:rsidR="00802652" w:rsidRPr="00C966A2" w14:paraId="5EDC0F52" w14:textId="77777777" w:rsidTr="002159ED">
        <w:tc>
          <w:tcPr>
            <w:tcW w:w="426" w:type="dxa"/>
          </w:tcPr>
          <w:p w14:paraId="65396759" w14:textId="77777777" w:rsidR="00802652" w:rsidRPr="00C966A2" w:rsidRDefault="00802652" w:rsidP="00C92987">
            <w:pPr>
              <w:spacing w:line="240" w:lineRule="auto"/>
              <w:rPr>
                <w:rFonts w:cs="Arial"/>
                <w:sz w:val="20"/>
                <w:szCs w:val="20"/>
              </w:rPr>
            </w:pPr>
            <w:r w:rsidRPr="00C966A2">
              <w:rPr>
                <w:rFonts w:cs="Arial"/>
                <w:sz w:val="20"/>
                <w:szCs w:val="20"/>
              </w:rPr>
              <w:t>10</w:t>
            </w:r>
          </w:p>
        </w:tc>
        <w:tc>
          <w:tcPr>
            <w:tcW w:w="1743" w:type="dxa"/>
          </w:tcPr>
          <w:p w14:paraId="663EA1D6" w14:textId="77777777" w:rsidR="00802652" w:rsidRPr="00C966A2" w:rsidRDefault="00802652" w:rsidP="00C92987">
            <w:pPr>
              <w:spacing w:line="240" w:lineRule="auto"/>
              <w:rPr>
                <w:rFonts w:cs="Arial"/>
                <w:sz w:val="20"/>
                <w:szCs w:val="20"/>
              </w:rPr>
            </w:pPr>
            <w:r>
              <w:rPr>
                <w:rFonts w:cs="Arial"/>
                <w:sz w:val="20"/>
                <w:szCs w:val="20"/>
              </w:rPr>
              <w:t>Going concern attestation</w:t>
            </w:r>
          </w:p>
        </w:tc>
        <w:tc>
          <w:tcPr>
            <w:tcW w:w="1375" w:type="dxa"/>
          </w:tcPr>
          <w:p w14:paraId="0BD38D26" w14:textId="192A6629" w:rsidR="00802652" w:rsidRPr="000A7DB2" w:rsidRDefault="00802652" w:rsidP="00C92987">
            <w:pPr>
              <w:spacing w:line="240" w:lineRule="auto"/>
              <w:rPr>
                <w:rFonts w:cs="Arial"/>
                <w:sz w:val="20"/>
                <w:szCs w:val="20"/>
              </w:rPr>
            </w:pPr>
            <w:r w:rsidRPr="000A7DB2">
              <w:rPr>
                <w:rFonts w:cs="Arial"/>
                <w:sz w:val="20"/>
                <w:szCs w:val="20"/>
              </w:rPr>
              <w:t>Confirmation by auditor of Big 10 accounting firms</w:t>
            </w:r>
            <w:r>
              <w:rPr>
                <w:rFonts w:cs="Arial"/>
                <w:sz w:val="20"/>
                <w:szCs w:val="20"/>
              </w:rPr>
              <w:t xml:space="preserve">; </w:t>
            </w:r>
            <w:proofErr w:type="spellStart"/>
            <w:r>
              <w:rPr>
                <w:rFonts w:cs="Arial"/>
                <w:sz w:val="20"/>
                <w:szCs w:val="20"/>
              </w:rPr>
              <w:t>ie</w:t>
            </w:r>
            <w:proofErr w:type="spellEnd"/>
            <w:r>
              <w:rPr>
                <w:rFonts w:cs="Arial"/>
                <w:sz w:val="20"/>
                <w:szCs w:val="20"/>
              </w:rPr>
              <w:t xml:space="preserve">: </w:t>
            </w:r>
            <w:r w:rsidR="003D6EDC" w:rsidRPr="00070A78">
              <w:rPr>
                <w:rFonts w:cs="Arial"/>
                <w:sz w:val="20"/>
                <w:szCs w:val="20"/>
              </w:rPr>
              <w:t>Deloitte</w:t>
            </w:r>
            <w:r w:rsidR="003D6EDC">
              <w:rPr>
                <w:rFonts w:cs="Arial"/>
                <w:sz w:val="20"/>
                <w:szCs w:val="20"/>
              </w:rPr>
              <w:t>,</w:t>
            </w:r>
            <w:r w:rsidR="003D6EDC" w:rsidRPr="00070A78">
              <w:rPr>
                <w:rFonts w:cs="Arial"/>
                <w:sz w:val="20"/>
                <w:szCs w:val="20"/>
              </w:rPr>
              <w:t xml:space="preserve"> </w:t>
            </w:r>
            <w:r w:rsidRPr="00070A78">
              <w:rPr>
                <w:rFonts w:cs="Arial"/>
                <w:sz w:val="20"/>
                <w:szCs w:val="20"/>
              </w:rPr>
              <w:t>P</w:t>
            </w:r>
            <w:r>
              <w:rPr>
                <w:rFonts w:cs="Arial"/>
                <w:sz w:val="20"/>
                <w:szCs w:val="20"/>
              </w:rPr>
              <w:t>w</w:t>
            </w:r>
            <w:r w:rsidRPr="00070A78">
              <w:rPr>
                <w:rFonts w:cs="Arial"/>
                <w:sz w:val="20"/>
                <w:szCs w:val="20"/>
              </w:rPr>
              <w:t>C</w:t>
            </w:r>
            <w:r>
              <w:rPr>
                <w:rFonts w:cs="Arial"/>
                <w:sz w:val="20"/>
                <w:szCs w:val="20"/>
              </w:rPr>
              <w:t xml:space="preserve">, </w:t>
            </w:r>
            <w:r w:rsidR="003D6EDC">
              <w:rPr>
                <w:rFonts w:cs="Arial"/>
                <w:sz w:val="20"/>
                <w:szCs w:val="20"/>
              </w:rPr>
              <w:t>E</w:t>
            </w:r>
            <w:r w:rsidR="003D6EDC" w:rsidRPr="00070A78">
              <w:rPr>
                <w:rFonts w:cs="Arial"/>
                <w:sz w:val="20"/>
                <w:szCs w:val="20"/>
              </w:rPr>
              <w:t>Y</w:t>
            </w:r>
            <w:r w:rsidR="003D6EDC">
              <w:rPr>
                <w:rFonts w:cs="Arial"/>
                <w:sz w:val="20"/>
                <w:szCs w:val="20"/>
              </w:rPr>
              <w:t>,</w:t>
            </w:r>
            <w:r w:rsidR="003D6EDC" w:rsidRPr="00070A78">
              <w:rPr>
                <w:rFonts w:cs="Arial"/>
                <w:sz w:val="20"/>
                <w:szCs w:val="20"/>
              </w:rPr>
              <w:t xml:space="preserve"> </w:t>
            </w:r>
            <w:r w:rsidRPr="00070A78">
              <w:rPr>
                <w:rFonts w:cs="Arial"/>
                <w:sz w:val="20"/>
                <w:szCs w:val="20"/>
              </w:rPr>
              <w:t>KPMG</w:t>
            </w:r>
            <w:r>
              <w:rPr>
                <w:rFonts w:cs="Arial"/>
                <w:sz w:val="20"/>
                <w:szCs w:val="20"/>
              </w:rPr>
              <w:t xml:space="preserve">, </w:t>
            </w:r>
            <w:r w:rsidRPr="00070A78">
              <w:rPr>
                <w:rFonts w:cs="Arial"/>
                <w:sz w:val="20"/>
                <w:szCs w:val="20"/>
              </w:rPr>
              <w:t>BDO</w:t>
            </w:r>
            <w:r>
              <w:rPr>
                <w:rFonts w:cs="Arial"/>
                <w:sz w:val="20"/>
                <w:szCs w:val="20"/>
              </w:rPr>
              <w:t xml:space="preserve">, </w:t>
            </w:r>
            <w:r w:rsidR="003D6EDC">
              <w:rPr>
                <w:rFonts w:cs="Arial"/>
                <w:sz w:val="20"/>
                <w:szCs w:val="20"/>
              </w:rPr>
              <w:t>RSM</w:t>
            </w:r>
            <w:r>
              <w:rPr>
                <w:rFonts w:cs="Arial"/>
                <w:sz w:val="20"/>
                <w:szCs w:val="20"/>
              </w:rPr>
              <w:t xml:space="preserve">, </w:t>
            </w:r>
            <w:r w:rsidR="003D6EDC" w:rsidRPr="00070A78">
              <w:rPr>
                <w:rFonts w:cs="Arial"/>
                <w:sz w:val="20"/>
                <w:szCs w:val="20"/>
              </w:rPr>
              <w:t>Grant Thornton</w:t>
            </w:r>
            <w:r w:rsidR="003D6EDC">
              <w:rPr>
                <w:rFonts w:cs="Arial"/>
                <w:sz w:val="20"/>
                <w:szCs w:val="20"/>
              </w:rPr>
              <w:t xml:space="preserve">, Nexia International, </w:t>
            </w:r>
            <w:r>
              <w:rPr>
                <w:rFonts w:cs="Arial"/>
                <w:sz w:val="20"/>
                <w:szCs w:val="20"/>
              </w:rPr>
              <w:t>Crowe</w:t>
            </w:r>
            <w:r w:rsidR="00845B8B">
              <w:rPr>
                <w:rFonts w:cs="Arial"/>
                <w:sz w:val="20"/>
                <w:szCs w:val="20"/>
              </w:rPr>
              <w:t xml:space="preserve"> Australasia</w:t>
            </w:r>
            <w:r>
              <w:rPr>
                <w:rFonts w:cs="Arial"/>
                <w:sz w:val="20"/>
                <w:szCs w:val="20"/>
              </w:rPr>
              <w:t xml:space="preserve">, </w:t>
            </w:r>
            <w:r w:rsidR="003D6EDC">
              <w:rPr>
                <w:rFonts w:cs="Arial"/>
                <w:sz w:val="20"/>
                <w:szCs w:val="20"/>
              </w:rPr>
              <w:t>Baker Tilly</w:t>
            </w:r>
            <w:r>
              <w:rPr>
                <w:rFonts w:cs="Arial"/>
                <w:sz w:val="20"/>
                <w:szCs w:val="20"/>
              </w:rPr>
              <w:t xml:space="preserve">, </w:t>
            </w:r>
            <w:r w:rsidR="001D4CEE">
              <w:rPr>
                <w:rFonts w:cs="Arial"/>
                <w:sz w:val="20"/>
                <w:szCs w:val="20"/>
              </w:rPr>
              <w:t xml:space="preserve">Moore Markham, </w:t>
            </w:r>
            <w:r w:rsidRPr="000A7DB2">
              <w:rPr>
                <w:rFonts w:cs="Arial"/>
                <w:sz w:val="20"/>
                <w:szCs w:val="20"/>
              </w:rPr>
              <w:t>or OAG th</w:t>
            </w:r>
            <w:r>
              <w:rPr>
                <w:rFonts w:cs="Arial"/>
                <w:sz w:val="20"/>
                <w:szCs w:val="20"/>
              </w:rPr>
              <w:t>rough an external audit opinion</w:t>
            </w:r>
          </w:p>
        </w:tc>
        <w:tc>
          <w:tcPr>
            <w:tcW w:w="1418" w:type="dxa"/>
          </w:tcPr>
          <w:p w14:paraId="4DDAAEB0" w14:textId="77777777" w:rsidR="00802652" w:rsidRPr="000A7DB2" w:rsidRDefault="00802652" w:rsidP="00C92987">
            <w:pPr>
              <w:spacing w:line="240" w:lineRule="auto"/>
              <w:rPr>
                <w:rFonts w:cs="Arial"/>
                <w:sz w:val="20"/>
                <w:szCs w:val="20"/>
              </w:rPr>
            </w:pPr>
            <w:r w:rsidRPr="000A7DB2">
              <w:rPr>
                <w:rFonts w:cs="Arial"/>
                <w:sz w:val="20"/>
                <w:szCs w:val="20"/>
              </w:rPr>
              <w:t xml:space="preserve">Confirmation by auditor or </w:t>
            </w:r>
            <w:r>
              <w:rPr>
                <w:rFonts w:cs="Arial"/>
                <w:sz w:val="20"/>
                <w:szCs w:val="20"/>
              </w:rPr>
              <w:t>reviewer</w:t>
            </w:r>
          </w:p>
        </w:tc>
        <w:tc>
          <w:tcPr>
            <w:tcW w:w="1417" w:type="dxa"/>
          </w:tcPr>
          <w:p w14:paraId="596C8581" w14:textId="77777777" w:rsidR="00802652" w:rsidRPr="000A7DB2" w:rsidRDefault="00802652" w:rsidP="00067C1F">
            <w:pPr>
              <w:spacing w:line="240" w:lineRule="auto"/>
              <w:rPr>
                <w:rFonts w:cs="Arial"/>
                <w:sz w:val="20"/>
                <w:szCs w:val="20"/>
              </w:rPr>
            </w:pPr>
            <w:r w:rsidRPr="000A7DB2">
              <w:rPr>
                <w:rFonts w:cs="Arial"/>
                <w:sz w:val="20"/>
                <w:szCs w:val="20"/>
              </w:rPr>
              <w:t>We have not been provided with an audit opinion/</w:t>
            </w:r>
            <w:r w:rsidR="00067C1F">
              <w:rPr>
                <w:rFonts w:cs="Arial"/>
                <w:sz w:val="20"/>
                <w:szCs w:val="20"/>
              </w:rPr>
              <w:br/>
            </w:r>
            <w:r w:rsidRPr="000A7DB2">
              <w:rPr>
                <w:rFonts w:cs="Arial"/>
                <w:sz w:val="20"/>
                <w:szCs w:val="20"/>
              </w:rPr>
              <w:t xml:space="preserve">review indicating a positive going concern assessment, or </w:t>
            </w:r>
            <w:r>
              <w:rPr>
                <w:rFonts w:cstheme="minorHAnsi"/>
                <w:sz w:val="20"/>
                <w:szCs w:val="20"/>
              </w:rPr>
              <w:t>pre-audit or reviewe</w:t>
            </w:r>
            <w:r w:rsidRPr="00E15C74">
              <w:rPr>
                <w:rFonts w:cstheme="minorHAnsi"/>
                <w:sz w:val="20"/>
                <w:szCs w:val="20"/>
              </w:rPr>
              <w:t xml:space="preserve">d </w:t>
            </w:r>
            <w:r>
              <w:rPr>
                <w:rFonts w:cstheme="minorHAnsi"/>
                <w:sz w:val="20"/>
                <w:szCs w:val="20"/>
              </w:rPr>
              <w:t>repor</w:t>
            </w:r>
            <w:r w:rsidRPr="00E15C74">
              <w:rPr>
                <w:rFonts w:cstheme="minorHAnsi"/>
                <w:sz w:val="20"/>
                <w:szCs w:val="20"/>
              </w:rPr>
              <w:t>ts have been provided</w:t>
            </w:r>
            <w:r w:rsidRPr="000A7DB2">
              <w:rPr>
                <w:rFonts w:cs="Arial"/>
                <w:sz w:val="20"/>
                <w:szCs w:val="20"/>
              </w:rPr>
              <w:t>, or an attestation is positive but more than a year old</w:t>
            </w:r>
          </w:p>
        </w:tc>
        <w:tc>
          <w:tcPr>
            <w:tcW w:w="1418" w:type="dxa"/>
          </w:tcPr>
          <w:p w14:paraId="334A9176" w14:textId="77777777" w:rsidR="00802652" w:rsidRPr="000A7DB2" w:rsidRDefault="00802652" w:rsidP="00C92987">
            <w:pPr>
              <w:spacing w:line="240" w:lineRule="auto"/>
              <w:rPr>
                <w:rFonts w:cs="Arial"/>
                <w:sz w:val="20"/>
                <w:szCs w:val="20"/>
              </w:rPr>
            </w:pPr>
            <w:r w:rsidRPr="000A7DB2">
              <w:rPr>
                <w:rFonts w:cs="Arial"/>
                <w:sz w:val="20"/>
                <w:szCs w:val="20"/>
              </w:rPr>
              <w:t>Auditor or review</w:t>
            </w:r>
            <w:r>
              <w:rPr>
                <w:rFonts w:cs="Arial"/>
                <w:sz w:val="20"/>
                <w:szCs w:val="20"/>
              </w:rPr>
              <w:t>er</w:t>
            </w:r>
            <w:r w:rsidRPr="000A7DB2">
              <w:rPr>
                <w:rFonts w:cs="Arial"/>
                <w:sz w:val="20"/>
                <w:szCs w:val="20"/>
              </w:rPr>
              <w:t xml:space="preserve"> questions aspects of the “going concern” test; </w:t>
            </w:r>
            <w:r>
              <w:rPr>
                <w:rFonts w:cs="Arial"/>
                <w:sz w:val="20"/>
                <w:szCs w:val="20"/>
              </w:rPr>
              <w:t>(</w:t>
            </w:r>
            <w:r w:rsidRPr="000A7DB2">
              <w:rPr>
                <w:rFonts w:cs="Arial"/>
                <w:sz w:val="20"/>
                <w:szCs w:val="20"/>
              </w:rPr>
              <w:t>e.g. “fundamental uncertainty” or “emphasis of matter” or notes inability to assess</w:t>
            </w:r>
            <w:r>
              <w:rPr>
                <w:rFonts w:cs="Arial"/>
                <w:sz w:val="20"/>
                <w:szCs w:val="20"/>
              </w:rPr>
              <w:t xml:space="preserve">); </w:t>
            </w:r>
            <w:r w:rsidRPr="000A7DB2">
              <w:rPr>
                <w:rFonts w:cs="Arial"/>
                <w:sz w:val="20"/>
                <w:szCs w:val="20"/>
              </w:rPr>
              <w:t>or the TEC considers there is evidence the PTE may not be a going concern currently or in future</w:t>
            </w:r>
          </w:p>
        </w:tc>
        <w:tc>
          <w:tcPr>
            <w:tcW w:w="1417" w:type="dxa"/>
            <w:gridSpan w:val="2"/>
          </w:tcPr>
          <w:p w14:paraId="4EBB2F69" w14:textId="77777777" w:rsidR="00802652" w:rsidRPr="000A7DB2" w:rsidRDefault="00802652" w:rsidP="00C92987">
            <w:pPr>
              <w:spacing w:line="240" w:lineRule="auto"/>
              <w:rPr>
                <w:rFonts w:cs="Arial"/>
                <w:sz w:val="20"/>
                <w:szCs w:val="20"/>
              </w:rPr>
            </w:pPr>
            <w:r w:rsidRPr="000A7DB2">
              <w:rPr>
                <w:rFonts w:cs="Arial"/>
                <w:sz w:val="20"/>
                <w:szCs w:val="20"/>
              </w:rPr>
              <w:t>Auditor or review</w:t>
            </w:r>
            <w:r>
              <w:rPr>
                <w:rFonts w:cs="Arial"/>
                <w:sz w:val="20"/>
                <w:szCs w:val="20"/>
              </w:rPr>
              <w:t>er</w:t>
            </w:r>
            <w:r w:rsidRPr="000A7DB2">
              <w:rPr>
                <w:rFonts w:cs="Arial"/>
                <w:sz w:val="20"/>
                <w:szCs w:val="20"/>
              </w:rPr>
              <w:t xml:space="preserve"> considers the PTE not to be a going concern</w:t>
            </w:r>
          </w:p>
          <w:p w14:paraId="7E16BD49" w14:textId="77777777" w:rsidR="00802652" w:rsidRPr="000A7DB2" w:rsidRDefault="00802652" w:rsidP="00C92987">
            <w:pPr>
              <w:spacing w:line="240" w:lineRule="auto"/>
              <w:rPr>
                <w:rFonts w:cs="Arial"/>
                <w:sz w:val="20"/>
                <w:szCs w:val="20"/>
              </w:rPr>
            </w:pPr>
            <w:r w:rsidRPr="000A7DB2">
              <w:rPr>
                <w:rFonts w:cs="Arial"/>
                <w:sz w:val="20"/>
                <w:szCs w:val="20"/>
              </w:rPr>
              <w:t>Failure of one or more of the solvency tests in the Companies Act</w:t>
            </w:r>
          </w:p>
        </w:tc>
        <w:tc>
          <w:tcPr>
            <w:tcW w:w="4820" w:type="dxa"/>
          </w:tcPr>
          <w:p w14:paraId="49689A2C" w14:textId="77777777" w:rsidR="004E1853" w:rsidRDefault="004E1853" w:rsidP="004E1853">
            <w:pPr>
              <w:rPr>
                <w:rFonts w:cs="Arial"/>
                <w:sz w:val="20"/>
                <w:szCs w:val="20"/>
              </w:rPr>
            </w:pPr>
            <w:r w:rsidRPr="00AE32EC">
              <w:rPr>
                <w:rFonts w:cs="Arial"/>
                <w:sz w:val="20"/>
                <w:szCs w:val="20"/>
              </w:rPr>
              <w:t xml:space="preserve">An attestation </w:t>
            </w:r>
            <w:r>
              <w:rPr>
                <w:rFonts w:cs="Arial"/>
                <w:sz w:val="20"/>
                <w:szCs w:val="20"/>
              </w:rPr>
              <w:t>on</w:t>
            </w:r>
            <w:r w:rsidRPr="000A7DB2">
              <w:rPr>
                <w:rFonts w:cs="Arial"/>
                <w:sz w:val="20"/>
                <w:szCs w:val="20"/>
              </w:rPr>
              <w:t xml:space="preserve"> the latest </w:t>
            </w:r>
            <w:r>
              <w:rPr>
                <w:rFonts w:cs="Arial"/>
                <w:sz w:val="20"/>
                <w:szCs w:val="20"/>
              </w:rPr>
              <w:t>financial statements</w:t>
            </w:r>
            <w:r w:rsidRPr="00AE32EC">
              <w:rPr>
                <w:rFonts w:cs="Arial"/>
                <w:sz w:val="20"/>
                <w:szCs w:val="20"/>
              </w:rPr>
              <w:t xml:space="preserve"> by an independent accountant provides us with a level of comfort around the financial numbers being a true and fair view of t</w:t>
            </w:r>
            <w:r>
              <w:rPr>
                <w:rFonts w:cs="Arial"/>
                <w:sz w:val="20"/>
                <w:szCs w:val="20"/>
              </w:rPr>
              <w:t>he PTE’s financial performance and position.</w:t>
            </w:r>
          </w:p>
          <w:p w14:paraId="4CEF5F2D" w14:textId="77777777" w:rsidR="00802652" w:rsidRDefault="00802652" w:rsidP="00C92987">
            <w:pPr>
              <w:spacing w:line="240" w:lineRule="auto"/>
              <w:rPr>
                <w:rFonts w:cs="Arial"/>
                <w:sz w:val="20"/>
                <w:szCs w:val="20"/>
              </w:rPr>
            </w:pPr>
            <w:r w:rsidRPr="00AE32EC">
              <w:rPr>
                <w:rFonts w:cs="Arial"/>
                <w:sz w:val="20"/>
                <w:szCs w:val="20"/>
              </w:rPr>
              <w:t>As the quality of audits may vary the “big 10’ a</w:t>
            </w:r>
            <w:r>
              <w:rPr>
                <w:rFonts w:cs="Arial"/>
                <w:sz w:val="20"/>
                <w:szCs w:val="20"/>
              </w:rPr>
              <w:t>uditors have a higher weighting.</w:t>
            </w:r>
          </w:p>
          <w:p w14:paraId="16232F58" w14:textId="77777777" w:rsidR="00802652" w:rsidRPr="00C966A2" w:rsidRDefault="00802652" w:rsidP="00C92987">
            <w:pPr>
              <w:spacing w:line="240" w:lineRule="auto"/>
              <w:rPr>
                <w:rFonts w:cs="Arial"/>
                <w:sz w:val="20"/>
                <w:szCs w:val="20"/>
              </w:rPr>
            </w:pPr>
            <w:r w:rsidRPr="00AE32EC">
              <w:rPr>
                <w:rFonts w:cs="Arial"/>
                <w:sz w:val="20"/>
                <w:szCs w:val="20"/>
              </w:rPr>
              <w:t xml:space="preserve">Where an auditor raises going concern issues, or where </w:t>
            </w:r>
            <w:r>
              <w:rPr>
                <w:rFonts w:cs="Arial"/>
                <w:sz w:val="20"/>
                <w:szCs w:val="20"/>
              </w:rPr>
              <w:t>financial statements</w:t>
            </w:r>
            <w:r w:rsidRPr="00AE32EC">
              <w:rPr>
                <w:rFonts w:cs="Arial"/>
                <w:sz w:val="20"/>
                <w:szCs w:val="20"/>
              </w:rPr>
              <w:t xml:space="preserve"> have not been audited</w:t>
            </w:r>
            <w:r w:rsidR="004037D7">
              <w:rPr>
                <w:rFonts w:cs="Arial"/>
                <w:sz w:val="20"/>
                <w:szCs w:val="20"/>
              </w:rPr>
              <w:t xml:space="preserve"> or reviewed</w:t>
            </w:r>
            <w:r w:rsidRPr="00AE32EC">
              <w:rPr>
                <w:rFonts w:cs="Arial"/>
                <w:sz w:val="20"/>
                <w:szCs w:val="20"/>
              </w:rPr>
              <w:t xml:space="preserve">, then less reliance can be placed on the </w:t>
            </w:r>
            <w:r>
              <w:rPr>
                <w:rFonts w:cs="Arial"/>
                <w:sz w:val="20"/>
                <w:szCs w:val="20"/>
              </w:rPr>
              <w:t>forecast</w:t>
            </w:r>
            <w:r w:rsidRPr="00AE32EC">
              <w:rPr>
                <w:rFonts w:cs="Arial"/>
                <w:sz w:val="20"/>
                <w:szCs w:val="20"/>
              </w:rPr>
              <w:t xml:space="preserve"> figures provided </w:t>
            </w:r>
            <w:r>
              <w:rPr>
                <w:rFonts w:cs="Arial"/>
                <w:sz w:val="20"/>
                <w:szCs w:val="20"/>
              </w:rPr>
              <w:t>or the PTE’s on-going solvency.</w:t>
            </w:r>
          </w:p>
        </w:tc>
      </w:tr>
      <w:tr w:rsidR="00802652" w:rsidRPr="00C966A2" w14:paraId="381103A2" w14:textId="77777777" w:rsidTr="002159ED">
        <w:tc>
          <w:tcPr>
            <w:tcW w:w="426" w:type="dxa"/>
          </w:tcPr>
          <w:p w14:paraId="3B449A26" w14:textId="77777777" w:rsidR="00802652" w:rsidRPr="00C966A2" w:rsidRDefault="00802652" w:rsidP="00C92987">
            <w:pPr>
              <w:spacing w:line="240" w:lineRule="auto"/>
              <w:rPr>
                <w:rFonts w:cs="Arial"/>
                <w:sz w:val="20"/>
                <w:szCs w:val="20"/>
              </w:rPr>
            </w:pPr>
            <w:r w:rsidRPr="00C966A2">
              <w:rPr>
                <w:rFonts w:cs="Arial"/>
                <w:sz w:val="20"/>
                <w:szCs w:val="20"/>
              </w:rPr>
              <w:t>11</w:t>
            </w:r>
          </w:p>
        </w:tc>
        <w:tc>
          <w:tcPr>
            <w:tcW w:w="1743" w:type="dxa"/>
          </w:tcPr>
          <w:p w14:paraId="51DA8A15" w14:textId="77777777" w:rsidR="00802652" w:rsidRPr="00C966A2" w:rsidRDefault="00802652" w:rsidP="00C92987">
            <w:pPr>
              <w:spacing w:line="240" w:lineRule="auto"/>
              <w:rPr>
                <w:rFonts w:cs="Arial"/>
                <w:sz w:val="20"/>
                <w:szCs w:val="20"/>
              </w:rPr>
            </w:pPr>
            <w:r w:rsidRPr="00C966A2">
              <w:rPr>
                <w:rFonts w:cs="Arial"/>
                <w:sz w:val="20"/>
                <w:szCs w:val="20"/>
              </w:rPr>
              <w:t>Other factors</w:t>
            </w:r>
          </w:p>
        </w:tc>
        <w:tc>
          <w:tcPr>
            <w:tcW w:w="1375" w:type="dxa"/>
          </w:tcPr>
          <w:p w14:paraId="47F01F25" w14:textId="77777777" w:rsidR="00802652" w:rsidRPr="00C966A2" w:rsidRDefault="00802652" w:rsidP="00C92987">
            <w:pPr>
              <w:spacing w:line="240" w:lineRule="auto"/>
              <w:rPr>
                <w:rFonts w:cs="Arial"/>
                <w:sz w:val="20"/>
                <w:szCs w:val="20"/>
              </w:rPr>
            </w:pPr>
            <w:r w:rsidRPr="00C966A2">
              <w:rPr>
                <w:rFonts w:cs="Arial"/>
                <w:sz w:val="20"/>
                <w:szCs w:val="20"/>
              </w:rPr>
              <w:t>None</w:t>
            </w:r>
          </w:p>
        </w:tc>
        <w:tc>
          <w:tcPr>
            <w:tcW w:w="1418" w:type="dxa"/>
          </w:tcPr>
          <w:p w14:paraId="61E7AE46" w14:textId="77777777" w:rsidR="00802652" w:rsidRPr="00C966A2" w:rsidRDefault="00802652" w:rsidP="00C92987">
            <w:pPr>
              <w:spacing w:line="240" w:lineRule="auto"/>
              <w:rPr>
                <w:rFonts w:cs="Arial"/>
                <w:sz w:val="20"/>
                <w:szCs w:val="20"/>
              </w:rPr>
            </w:pPr>
            <w:r w:rsidRPr="00C966A2">
              <w:rPr>
                <w:rFonts w:cs="Arial"/>
                <w:sz w:val="20"/>
                <w:szCs w:val="20"/>
              </w:rPr>
              <w:t>Indications there may be factors with a negative bearing on the entity’s financial viability</w:t>
            </w:r>
            <w:r>
              <w:rPr>
                <w:rFonts w:cs="Arial"/>
                <w:sz w:val="20"/>
                <w:szCs w:val="20"/>
              </w:rPr>
              <w:t>. This includes</w:t>
            </w:r>
            <w:r w:rsidRPr="00C966A2">
              <w:rPr>
                <w:rFonts w:cs="Arial"/>
                <w:sz w:val="20"/>
                <w:szCs w:val="20"/>
              </w:rPr>
              <w:t xml:space="preserve"> possible future funding reductions</w:t>
            </w:r>
          </w:p>
        </w:tc>
        <w:tc>
          <w:tcPr>
            <w:tcW w:w="1417" w:type="dxa"/>
          </w:tcPr>
          <w:p w14:paraId="1015997C" w14:textId="77777777" w:rsidR="00802652" w:rsidRPr="00C966A2" w:rsidRDefault="00802652" w:rsidP="00C92987">
            <w:pPr>
              <w:spacing w:line="240" w:lineRule="auto"/>
              <w:rPr>
                <w:rFonts w:cs="Arial"/>
                <w:sz w:val="20"/>
                <w:szCs w:val="20"/>
              </w:rPr>
            </w:pPr>
            <w:r w:rsidRPr="00C966A2">
              <w:rPr>
                <w:rFonts w:cs="Arial"/>
                <w:sz w:val="20"/>
                <w:szCs w:val="20"/>
              </w:rPr>
              <w:t>Concerns expressed by an external government agency</w:t>
            </w:r>
            <w:r>
              <w:rPr>
                <w:rFonts w:cs="Arial"/>
                <w:sz w:val="20"/>
                <w:szCs w:val="20"/>
              </w:rPr>
              <w:t xml:space="preserve"> or</w:t>
            </w:r>
            <w:r w:rsidRPr="00C966A2">
              <w:rPr>
                <w:rFonts w:cs="Arial"/>
                <w:sz w:val="20"/>
                <w:szCs w:val="20"/>
              </w:rPr>
              <w:t xml:space="preserve"> </w:t>
            </w:r>
            <w:r>
              <w:rPr>
                <w:rFonts w:cs="Arial"/>
                <w:sz w:val="20"/>
                <w:szCs w:val="20"/>
              </w:rPr>
              <w:t xml:space="preserve">the </w:t>
            </w:r>
            <w:r w:rsidRPr="00C966A2">
              <w:rPr>
                <w:rFonts w:cs="Arial"/>
                <w:sz w:val="20"/>
                <w:szCs w:val="20"/>
              </w:rPr>
              <w:t>TEC</w:t>
            </w:r>
            <w:r>
              <w:rPr>
                <w:rFonts w:cs="Arial"/>
                <w:sz w:val="20"/>
                <w:szCs w:val="20"/>
              </w:rPr>
              <w:t>.</w:t>
            </w:r>
            <w:r w:rsidRPr="00C966A2">
              <w:rPr>
                <w:rFonts w:cs="Arial"/>
                <w:sz w:val="20"/>
                <w:szCs w:val="20"/>
              </w:rPr>
              <w:t xml:space="preserve"> </w:t>
            </w:r>
            <w:r>
              <w:rPr>
                <w:rFonts w:cs="Arial"/>
                <w:sz w:val="20"/>
                <w:szCs w:val="20"/>
              </w:rPr>
              <w:t>This includes</w:t>
            </w:r>
            <w:r w:rsidRPr="00C966A2">
              <w:rPr>
                <w:rFonts w:cs="Arial"/>
                <w:sz w:val="20"/>
                <w:szCs w:val="20"/>
              </w:rPr>
              <w:t xml:space="preserve"> TEC review of aspects of the PTE’s financial management capability or ability to generate a profit</w:t>
            </w:r>
          </w:p>
        </w:tc>
        <w:tc>
          <w:tcPr>
            <w:tcW w:w="1418" w:type="dxa"/>
          </w:tcPr>
          <w:p w14:paraId="27ADECA9" w14:textId="77777777" w:rsidR="00802652" w:rsidRPr="00C966A2" w:rsidRDefault="00802652" w:rsidP="00C92987">
            <w:pPr>
              <w:spacing w:line="240" w:lineRule="auto"/>
              <w:rPr>
                <w:rFonts w:cs="Arial"/>
                <w:sz w:val="20"/>
                <w:szCs w:val="20"/>
              </w:rPr>
            </w:pPr>
            <w:r w:rsidRPr="00C966A2">
              <w:rPr>
                <w:rFonts w:cs="Arial"/>
                <w:sz w:val="20"/>
                <w:szCs w:val="20"/>
              </w:rPr>
              <w:t>Concerns expressed by an external government agency</w:t>
            </w:r>
            <w:r>
              <w:rPr>
                <w:rFonts w:cs="Arial"/>
                <w:sz w:val="20"/>
                <w:szCs w:val="20"/>
              </w:rPr>
              <w:t>,</w:t>
            </w:r>
            <w:r w:rsidRPr="00C966A2">
              <w:rPr>
                <w:rFonts w:cs="Arial"/>
                <w:sz w:val="20"/>
                <w:szCs w:val="20"/>
              </w:rPr>
              <w:t xml:space="preserve"> or TEC review of “going concern” issues or other factors likely to have a material impact on the PTE’s solvency. Include</w:t>
            </w:r>
            <w:r>
              <w:rPr>
                <w:rFonts w:cs="Arial"/>
                <w:sz w:val="20"/>
                <w:szCs w:val="20"/>
              </w:rPr>
              <w:t>s</w:t>
            </w:r>
            <w:r w:rsidRPr="00C966A2">
              <w:rPr>
                <w:rFonts w:cs="Arial"/>
                <w:sz w:val="20"/>
                <w:szCs w:val="20"/>
              </w:rPr>
              <w:t xml:space="preserve"> PTEs </w:t>
            </w:r>
            <w:r w:rsidRPr="000A7DB2">
              <w:rPr>
                <w:rFonts w:cs="Arial"/>
                <w:sz w:val="20"/>
                <w:szCs w:val="20"/>
              </w:rPr>
              <w:t>that receive a “zero allocation” letter</w:t>
            </w:r>
          </w:p>
        </w:tc>
        <w:tc>
          <w:tcPr>
            <w:tcW w:w="1417" w:type="dxa"/>
            <w:gridSpan w:val="2"/>
          </w:tcPr>
          <w:p w14:paraId="565CD53A" w14:textId="77777777" w:rsidR="00802652" w:rsidRPr="00C966A2" w:rsidRDefault="00802652" w:rsidP="00C92987">
            <w:pPr>
              <w:spacing w:line="240" w:lineRule="auto"/>
              <w:rPr>
                <w:rFonts w:cs="Arial"/>
                <w:sz w:val="20"/>
                <w:szCs w:val="20"/>
              </w:rPr>
            </w:pPr>
            <w:r w:rsidRPr="00C966A2">
              <w:rPr>
                <w:rFonts w:cs="Arial"/>
                <w:sz w:val="20"/>
                <w:szCs w:val="20"/>
              </w:rPr>
              <w:t>Evidence of insolvency</w:t>
            </w:r>
          </w:p>
        </w:tc>
        <w:tc>
          <w:tcPr>
            <w:tcW w:w="4820" w:type="dxa"/>
          </w:tcPr>
          <w:p w14:paraId="426CF700" w14:textId="2345B65C" w:rsidR="00802652" w:rsidRDefault="00727261" w:rsidP="00C92987">
            <w:pPr>
              <w:spacing w:line="240" w:lineRule="auto"/>
              <w:rPr>
                <w:rFonts w:cs="Arial"/>
                <w:sz w:val="20"/>
                <w:szCs w:val="20"/>
              </w:rPr>
            </w:pPr>
            <w:r>
              <w:rPr>
                <w:rFonts w:cs="Arial"/>
                <w:sz w:val="20"/>
                <w:szCs w:val="20"/>
              </w:rPr>
              <w:t>Considers</w:t>
            </w:r>
            <w:r w:rsidR="00802652" w:rsidRPr="00675D39">
              <w:rPr>
                <w:rFonts w:cs="Arial"/>
                <w:sz w:val="20"/>
                <w:szCs w:val="20"/>
              </w:rPr>
              <w:t xml:space="preserve"> any material other factors which may impact the financial viability of the PTE; e.g. post balance sheet events, poor educational outcomes, </w:t>
            </w:r>
            <w:r w:rsidR="00802652">
              <w:rPr>
                <w:rFonts w:cs="Arial"/>
                <w:sz w:val="20"/>
                <w:szCs w:val="20"/>
              </w:rPr>
              <w:t xml:space="preserve">or </w:t>
            </w:r>
            <w:r w:rsidR="00802652" w:rsidRPr="00675D39">
              <w:rPr>
                <w:rFonts w:cs="Arial"/>
                <w:sz w:val="20"/>
                <w:szCs w:val="20"/>
              </w:rPr>
              <w:t>the size of contingent liabilities</w:t>
            </w:r>
            <w:r w:rsidR="00802652">
              <w:rPr>
                <w:rFonts w:cs="Arial"/>
                <w:sz w:val="20"/>
                <w:szCs w:val="20"/>
              </w:rPr>
              <w:t>.</w:t>
            </w:r>
          </w:p>
          <w:p w14:paraId="694C882D" w14:textId="77777777" w:rsidR="00802652" w:rsidRPr="00C966A2" w:rsidRDefault="00802652" w:rsidP="00C92987">
            <w:pPr>
              <w:spacing w:line="240" w:lineRule="auto"/>
              <w:rPr>
                <w:rFonts w:cs="Arial"/>
                <w:sz w:val="20"/>
                <w:szCs w:val="20"/>
              </w:rPr>
            </w:pPr>
            <w:r>
              <w:rPr>
                <w:rFonts w:cs="Arial"/>
                <w:sz w:val="20"/>
                <w:szCs w:val="20"/>
              </w:rPr>
              <w:t>Each</w:t>
            </w:r>
            <w:r w:rsidRPr="00C966A2">
              <w:rPr>
                <w:rFonts w:cs="Arial"/>
                <w:sz w:val="20"/>
                <w:szCs w:val="20"/>
              </w:rPr>
              <w:t xml:space="preserve"> factor considered must be verifiable, objective, evidence based and material. This does not exclude commercial judgements made by suitably qualified accountants</w:t>
            </w:r>
            <w:r>
              <w:rPr>
                <w:rFonts w:cs="Arial"/>
                <w:sz w:val="20"/>
                <w:szCs w:val="20"/>
              </w:rPr>
              <w:t>.</w:t>
            </w:r>
          </w:p>
        </w:tc>
      </w:tr>
      <w:tr w:rsidR="00802652" w:rsidRPr="00C966A2" w14:paraId="0007760A" w14:textId="77777777" w:rsidTr="002159ED">
        <w:tc>
          <w:tcPr>
            <w:tcW w:w="426" w:type="dxa"/>
          </w:tcPr>
          <w:p w14:paraId="7FC53D28" w14:textId="77777777" w:rsidR="00802652" w:rsidRPr="00C966A2" w:rsidRDefault="00802652" w:rsidP="00C92987">
            <w:pPr>
              <w:spacing w:line="240" w:lineRule="auto"/>
              <w:rPr>
                <w:rFonts w:cs="Arial"/>
                <w:sz w:val="20"/>
                <w:szCs w:val="20"/>
              </w:rPr>
            </w:pPr>
            <w:r w:rsidRPr="00C966A2">
              <w:rPr>
                <w:rFonts w:cs="Arial"/>
                <w:sz w:val="20"/>
                <w:szCs w:val="20"/>
              </w:rPr>
              <w:t>12</w:t>
            </w:r>
          </w:p>
        </w:tc>
        <w:tc>
          <w:tcPr>
            <w:tcW w:w="1743" w:type="dxa"/>
          </w:tcPr>
          <w:p w14:paraId="4CC82988" w14:textId="77777777" w:rsidR="00802652" w:rsidRDefault="00802652" w:rsidP="00C92987">
            <w:pPr>
              <w:spacing w:line="240" w:lineRule="auto"/>
              <w:rPr>
                <w:rFonts w:cs="Arial"/>
                <w:sz w:val="20"/>
                <w:szCs w:val="20"/>
              </w:rPr>
            </w:pPr>
            <w:r w:rsidRPr="00C966A2">
              <w:rPr>
                <w:rFonts w:cs="Arial"/>
                <w:sz w:val="20"/>
                <w:szCs w:val="20"/>
              </w:rPr>
              <w:t xml:space="preserve">Meets funding commitments </w:t>
            </w:r>
            <w:r w:rsidRPr="00AF659A">
              <w:rPr>
                <w:rFonts w:cs="Arial"/>
                <w:sz w:val="20"/>
                <w:szCs w:val="20"/>
              </w:rPr>
              <w:t>(% delivery)</w:t>
            </w:r>
          </w:p>
          <w:p w14:paraId="35EE25F1" w14:textId="77777777" w:rsidR="00802652" w:rsidRPr="00C966A2" w:rsidRDefault="00802652" w:rsidP="00C92987">
            <w:pPr>
              <w:spacing w:line="240" w:lineRule="auto"/>
              <w:rPr>
                <w:rFonts w:cs="Arial"/>
                <w:sz w:val="20"/>
                <w:szCs w:val="20"/>
              </w:rPr>
            </w:pPr>
            <w:r w:rsidRPr="00A5003D">
              <w:rPr>
                <w:rFonts w:cstheme="minorHAnsi"/>
                <w:i/>
                <w:sz w:val="20"/>
                <w:szCs w:val="20"/>
              </w:rPr>
              <w:t>Funding dollars delivered/Funding dollars allocated</w:t>
            </w:r>
          </w:p>
        </w:tc>
        <w:tc>
          <w:tcPr>
            <w:tcW w:w="1375" w:type="dxa"/>
          </w:tcPr>
          <w:p w14:paraId="0C3258BC" w14:textId="77777777" w:rsidR="00802652" w:rsidRPr="00C966A2" w:rsidRDefault="00802652" w:rsidP="00C92987">
            <w:pPr>
              <w:spacing w:line="240" w:lineRule="auto"/>
              <w:rPr>
                <w:rFonts w:cs="Arial"/>
                <w:sz w:val="20"/>
                <w:szCs w:val="20"/>
              </w:rPr>
            </w:pPr>
            <w:r w:rsidRPr="00C966A2">
              <w:rPr>
                <w:rFonts w:cs="Arial"/>
                <w:sz w:val="20"/>
                <w:szCs w:val="20"/>
              </w:rPr>
              <w:t xml:space="preserve">99% </w:t>
            </w:r>
            <w:r>
              <w:rPr>
                <w:rFonts w:cs="Arial"/>
                <w:sz w:val="20"/>
                <w:szCs w:val="20"/>
              </w:rPr>
              <w:t>or more</w:t>
            </w:r>
            <w:r w:rsidRPr="00C966A2">
              <w:rPr>
                <w:rFonts w:cs="Arial"/>
                <w:sz w:val="20"/>
                <w:szCs w:val="20"/>
              </w:rPr>
              <w:t xml:space="preserve"> of </w:t>
            </w:r>
            <w:r>
              <w:rPr>
                <w:rFonts w:cs="Arial"/>
                <w:sz w:val="20"/>
                <w:szCs w:val="20"/>
              </w:rPr>
              <w:t>TEC allocated provision</w:t>
            </w:r>
          </w:p>
        </w:tc>
        <w:tc>
          <w:tcPr>
            <w:tcW w:w="1418" w:type="dxa"/>
          </w:tcPr>
          <w:p w14:paraId="0282D108" w14:textId="77777777" w:rsidR="00802652" w:rsidRPr="00C966A2" w:rsidRDefault="00802652" w:rsidP="00C92987">
            <w:pPr>
              <w:spacing w:line="240" w:lineRule="auto"/>
              <w:rPr>
                <w:rFonts w:cs="Arial"/>
                <w:sz w:val="20"/>
                <w:szCs w:val="20"/>
              </w:rPr>
            </w:pPr>
            <w:r w:rsidRPr="00C966A2">
              <w:rPr>
                <w:rFonts w:cs="Arial"/>
                <w:sz w:val="20"/>
                <w:szCs w:val="20"/>
              </w:rPr>
              <w:t xml:space="preserve">97% to </w:t>
            </w:r>
            <w:r>
              <w:rPr>
                <w:rFonts w:cs="Arial"/>
                <w:sz w:val="20"/>
                <w:szCs w:val="20"/>
              </w:rPr>
              <w:t xml:space="preserve">less than </w:t>
            </w:r>
            <w:r w:rsidRPr="00C966A2">
              <w:rPr>
                <w:rFonts w:cs="Arial"/>
                <w:sz w:val="20"/>
                <w:szCs w:val="20"/>
              </w:rPr>
              <w:t>99%</w:t>
            </w:r>
          </w:p>
        </w:tc>
        <w:tc>
          <w:tcPr>
            <w:tcW w:w="1417" w:type="dxa"/>
          </w:tcPr>
          <w:p w14:paraId="6F99E43D" w14:textId="77777777" w:rsidR="00802652" w:rsidRPr="00C966A2" w:rsidRDefault="00802652" w:rsidP="00C92987">
            <w:pPr>
              <w:spacing w:line="240" w:lineRule="auto"/>
              <w:rPr>
                <w:rFonts w:cs="Arial"/>
                <w:sz w:val="20"/>
                <w:szCs w:val="20"/>
              </w:rPr>
            </w:pPr>
            <w:r>
              <w:rPr>
                <w:rFonts w:cs="Arial"/>
                <w:sz w:val="20"/>
                <w:szCs w:val="20"/>
              </w:rPr>
              <w:t xml:space="preserve">90% to less than </w:t>
            </w:r>
            <w:r w:rsidRPr="00C966A2">
              <w:rPr>
                <w:rFonts w:cs="Arial"/>
                <w:sz w:val="20"/>
                <w:szCs w:val="20"/>
              </w:rPr>
              <w:t>97%</w:t>
            </w:r>
          </w:p>
        </w:tc>
        <w:tc>
          <w:tcPr>
            <w:tcW w:w="1418" w:type="dxa"/>
          </w:tcPr>
          <w:p w14:paraId="7DD5EB2D" w14:textId="77777777" w:rsidR="00802652" w:rsidRPr="00C966A2" w:rsidRDefault="00802652" w:rsidP="00C92987">
            <w:pPr>
              <w:spacing w:line="240" w:lineRule="auto"/>
              <w:rPr>
                <w:rFonts w:cs="Arial"/>
                <w:sz w:val="20"/>
                <w:szCs w:val="20"/>
              </w:rPr>
            </w:pPr>
            <w:r w:rsidRPr="00C966A2">
              <w:rPr>
                <w:rFonts w:cs="Arial"/>
                <w:sz w:val="20"/>
                <w:szCs w:val="20"/>
              </w:rPr>
              <w:t xml:space="preserve">Delivers less than 90% of </w:t>
            </w:r>
            <w:r>
              <w:rPr>
                <w:rFonts w:cs="Arial"/>
                <w:sz w:val="20"/>
                <w:szCs w:val="20"/>
              </w:rPr>
              <w:t>allocated funding</w:t>
            </w:r>
            <w:r w:rsidRPr="00C966A2">
              <w:rPr>
                <w:rFonts w:cs="Arial"/>
                <w:sz w:val="20"/>
                <w:szCs w:val="20"/>
              </w:rPr>
              <w:t xml:space="preserve"> or </w:t>
            </w:r>
            <w:r>
              <w:rPr>
                <w:rFonts w:cs="Arial"/>
                <w:sz w:val="20"/>
                <w:szCs w:val="20"/>
              </w:rPr>
              <w:t>n</w:t>
            </w:r>
            <w:r w:rsidRPr="00C966A2">
              <w:rPr>
                <w:rFonts w:cs="Arial"/>
                <w:sz w:val="20"/>
                <w:szCs w:val="20"/>
              </w:rPr>
              <w:t xml:space="preserve">eed for borrowing or deferment of TEC recovery </w:t>
            </w:r>
            <w:r>
              <w:rPr>
                <w:rFonts w:cs="Arial"/>
                <w:sz w:val="20"/>
                <w:szCs w:val="20"/>
              </w:rPr>
              <w:t xml:space="preserve">for the PTE </w:t>
            </w:r>
            <w:r w:rsidRPr="00C966A2">
              <w:rPr>
                <w:rFonts w:cs="Arial"/>
                <w:sz w:val="20"/>
                <w:szCs w:val="20"/>
              </w:rPr>
              <w:t xml:space="preserve">to continue to operate </w:t>
            </w:r>
          </w:p>
        </w:tc>
        <w:tc>
          <w:tcPr>
            <w:tcW w:w="1417" w:type="dxa"/>
            <w:gridSpan w:val="2"/>
          </w:tcPr>
          <w:p w14:paraId="12AC0739" w14:textId="77777777" w:rsidR="00802652" w:rsidRPr="00C966A2" w:rsidRDefault="00802652" w:rsidP="00C92987">
            <w:pPr>
              <w:spacing w:line="240" w:lineRule="auto"/>
              <w:rPr>
                <w:rFonts w:cs="Arial"/>
                <w:sz w:val="20"/>
                <w:szCs w:val="20"/>
              </w:rPr>
            </w:pPr>
          </w:p>
        </w:tc>
        <w:tc>
          <w:tcPr>
            <w:tcW w:w="4820" w:type="dxa"/>
          </w:tcPr>
          <w:p w14:paraId="6C9DE282" w14:textId="77777777" w:rsidR="00802652" w:rsidRPr="00C966A2" w:rsidRDefault="00802652" w:rsidP="00C92987">
            <w:pPr>
              <w:spacing w:line="240" w:lineRule="auto"/>
              <w:rPr>
                <w:rFonts w:cs="Arial"/>
                <w:sz w:val="20"/>
                <w:szCs w:val="20"/>
              </w:rPr>
            </w:pPr>
            <w:r>
              <w:rPr>
                <w:rFonts w:cs="Arial"/>
                <w:sz w:val="20"/>
                <w:szCs w:val="20"/>
              </w:rPr>
              <w:t>I</w:t>
            </w:r>
            <w:r w:rsidRPr="00E70907">
              <w:rPr>
                <w:rFonts w:cs="Arial"/>
                <w:sz w:val="20"/>
                <w:szCs w:val="20"/>
              </w:rPr>
              <w:t>s a measure of entity performance and stability. I</w:t>
            </w:r>
            <w:r>
              <w:rPr>
                <w:rFonts w:cs="Arial"/>
                <w:sz w:val="20"/>
                <w:szCs w:val="20"/>
              </w:rPr>
              <w:t>s</w:t>
            </w:r>
            <w:r w:rsidRPr="00E70907">
              <w:rPr>
                <w:rFonts w:cs="Arial"/>
                <w:sz w:val="20"/>
                <w:szCs w:val="20"/>
              </w:rPr>
              <w:t xml:space="preserve"> also a measure of funding risk as failure to deliver affects </w:t>
            </w:r>
            <w:r>
              <w:rPr>
                <w:rFonts w:cs="Arial"/>
                <w:sz w:val="20"/>
                <w:szCs w:val="20"/>
              </w:rPr>
              <w:t xml:space="preserve">revenue, equity, and </w:t>
            </w:r>
            <w:r w:rsidRPr="00E70907">
              <w:rPr>
                <w:rFonts w:cs="Arial"/>
                <w:sz w:val="20"/>
                <w:szCs w:val="20"/>
              </w:rPr>
              <w:t>the amount that must be repaid to us</w:t>
            </w:r>
            <w:r>
              <w:rPr>
                <w:rFonts w:cs="Arial"/>
                <w:sz w:val="20"/>
                <w:szCs w:val="20"/>
              </w:rPr>
              <w:t>. It is also</w:t>
            </w:r>
            <w:r w:rsidRPr="00E70907">
              <w:rPr>
                <w:rFonts w:cs="Arial"/>
                <w:sz w:val="20"/>
                <w:szCs w:val="20"/>
              </w:rPr>
              <w:t xml:space="preserve"> likely to impact</w:t>
            </w:r>
            <w:r>
              <w:rPr>
                <w:rFonts w:cs="Arial"/>
                <w:sz w:val="20"/>
                <w:szCs w:val="20"/>
              </w:rPr>
              <w:t xml:space="preserve"> future TEC funding.</w:t>
            </w:r>
          </w:p>
        </w:tc>
      </w:tr>
      <w:tr w:rsidR="00802652" w:rsidRPr="00C966A2" w14:paraId="2CE2E6E4" w14:textId="77777777" w:rsidTr="00BD4733">
        <w:trPr>
          <w:trHeight w:val="1692"/>
        </w:trPr>
        <w:tc>
          <w:tcPr>
            <w:tcW w:w="426" w:type="dxa"/>
          </w:tcPr>
          <w:p w14:paraId="394804D2" w14:textId="77777777" w:rsidR="00802652" w:rsidRPr="00C966A2" w:rsidRDefault="00802652" w:rsidP="00C92987">
            <w:pPr>
              <w:spacing w:line="240" w:lineRule="auto"/>
              <w:rPr>
                <w:rFonts w:cs="Arial"/>
                <w:sz w:val="20"/>
                <w:szCs w:val="20"/>
              </w:rPr>
            </w:pPr>
            <w:r w:rsidRPr="00C966A2">
              <w:rPr>
                <w:rFonts w:cs="Arial"/>
                <w:sz w:val="20"/>
                <w:szCs w:val="20"/>
              </w:rPr>
              <w:t>1</w:t>
            </w:r>
            <w:r>
              <w:rPr>
                <w:rFonts w:cs="Arial"/>
                <w:sz w:val="20"/>
                <w:szCs w:val="20"/>
              </w:rPr>
              <w:t>3</w:t>
            </w:r>
          </w:p>
        </w:tc>
        <w:tc>
          <w:tcPr>
            <w:tcW w:w="1743" w:type="dxa"/>
          </w:tcPr>
          <w:p w14:paraId="1AEDC60F" w14:textId="77777777" w:rsidR="00067C1F" w:rsidRDefault="00802652" w:rsidP="00C92987">
            <w:pPr>
              <w:spacing w:line="240" w:lineRule="auto"/>
              <w:rPr>
                <w:rFonts w:cs="Arial"/>
                <w:sz w:val="20"/>
                <w:szCs w:val="20"/>
              </w:rPr>
            </w:pPr>
            <w:r>
              <w:rPr>
                <w:rFonts w:cs="Arial"/>
                <w:sz w:val="20"/>
                <w:szCs w:val="20"/>
              </w:rPr>
              <w:t>Change in roll size</w:t>
            </w:r>
          </w:p>
          <w:p w14:paraId="2ED3DF6E" w14:textId="77777777" w:rsidR="00802652" w:rsidRPr="00C966A2" w:rsidRDefault="00802652" w:rsidP="00C92987">
            <w:pPr>
              <w:spacing w:line="240" w:lineRule="auto"/>
              <w:rPr>
                <w:rFonts w:cs="Arial"/>
                <w:sz w:val="20"/>
                <w:szCs w:val="20"/>
              </w:rPr>
            </w:pPr>
            <w:r w:rsidRPr="002220C1">
              <w:rPr>
                <w:rFonts w:cstheme="minorHAnsi"/>
                <w:i/>
                <w:sz w:val="20"/>
                <w:szCs w:val="20"/>
              </w:rPr>
              <w:t>TEC funded EFTS</w:t>
            </w:r>
            <w:r w:rsidRPr="002220C1">
              <w:rPr>
                <w:rFonts w:cs="Arial"/>
                <w:i/>
                <w:sz w:val="20"/>
                <w:szCs w:val="20"/>
              </w:rPr>
              <w:t xml:space="preserve"> delivery measured from each December SDR and from forecast </w:t>
            </w:r>
            <w:r>
              <w:rPr>
                <w:rFonts w:cs="Arial"/>
                <w:i/>
                <w:sz w:val="20"/>
                <w:szCs w:val="20"/>
              </w:rPr>
              <w:t>approved funding</w:t>
            </w:r>
            <w:r w:rsidRPr="002220C1">
              <w:rPr>
                <w:rFonts w:cs="Arial"/>
                <w:i/>
                <w:sz w:val="20"/>
                <w:szCs w:val="20"/>
              </w:rPr>
              <w:t xml:space="preserve"> information</w:t>
            </w:r>
          </w:p>
        </w:tc>
        <w:tc>
          <w:tcPr>
            <w:tcW w:w="1375" w:type="dxa"/>
          </w:tcPr>
          <w:p w14:paraId="112F385C" w14:textId="77777777" w:rsidR="00802652" w:rsidRPr="00C966A2" w:rsidRDefault="00802652" w:rsidP="00C92987">
            <w:pPr>
              <w:spacing w:line="240" w:lineRule="auto"/>
              <w:rPr>
                <w:rFonts w:cs="Arial"/>
                <w:sz w:val="20"/>
                <w:szCs w:val="20"/>
              </w:rPr>
            </w:pPr>
            <w:r w:rsidRPr="00C966A2">
              <w:rPr>
                <w:rFonts w:cs="Arial"/>
                <w:sz w:val="20"/>
                <w:szCs w:val="20"/>
              </w:rPr>
              <w:t>EFTS increase year on year over the last three years</w:t>
            </w:r>
          </w:p>
        </w:tc>
        <w:tc>
          <w:tcPr>
            <w:tcW w:w="1418" w:type="dxa"/>
          </w:tcPr>
          <w:p w14:paraId="5B91DA24" w14:textId="77777777" w:rsidR="00802652" w:rsidRPr="00C966A2" w:rsidRDefault="00802652" w:rsidP="00C92987">
            <w:pPr>
              <w:spacing w:line="240" w:lineRule="auto"/>
              <w:rPr>
                <w:rFonts w:cs="Arial"/>
                <w:sz w:val="20"/>
                <w:szCs w:val="20"/>
              </w:rPr>
            </w:pPr>
            <w:r w:rsidRPr="00C966A2">
              <w:rPr>
                <w:rFonts w:cs="Arial"/>
                <w:sz w:val="20"/>
                <w:szCs w:val="20"/>
              </w:rPr>
              <w:t>EFTS increase in current year over previous year</w:t>
            </w:r>
          </w:p>
        </w:tc>
        <w:tc>
          <w:tcPr>
            <w:tcW w:w="1417" w:type="dxa"/>
          </w:tcPr>
          <w:p w14:paraId="056A842D" w14:textId="77777777" w:rsidR="00802652" w:rsidRDefault="00802652" w:rsidP="00F645B2">
            <w:pPr>
              <w:spacing w:line="240" w:lineRule="auto"/>
              <w:rPr>
                <w:rFonts w:cs="Arial"/>
                <w:sz w:val="20"/>
                <w:szCs w:val="20"/>
              </w:rPr>
            </w:pPr>
            <w:r w:rsidRPr="00F645B2">
              <w:rPr>
                <w:rFonts w:cs="Arial"/>
                <w:sz w:val="20"/>
                <w:szCs w:val="20"/>
              </w:rPr>
              <w:t>EFTS static (give or take 10 EFTS)</w:t>
            </w:r>
          </w:p>
          <w:p w14:paraId="625D77CE" w14:textId="77777777" w:rsidR="00F645B2" w:rsidRPr="00F645B2" w:rsidRDefault="00F645B2" w:rsidP="00F645B2">
            <w:pPr>
              <w:spacing w:line="240" w:lineRule="auto"/>
              <w:rPr>
                <w:rFonts w:cs="Arial"/>
                <w:sz w:val="20"/>
                <w:szCs w:val="20"/>
              </w:rPr>
            </w:pPr>
            <w:r>
              <w:rPr>
                <w:rFonts w:cstheme="minorHAnsi"/>
                <w:sz w:val="20"/>
                <w:szCs w:val="20"/>
              </w:rPr>
              <w:t>New provider (with no comparatives)</w:t>
            </w:r>
          </w:p>
        </w:tc>
        <w:tc>
          <w:tcPr>
            <w:tcW w:w="1418" w:type="dxa"/>
          </w:tcPr>
          <w:p w14:paraId="36CA0249" w14:textId="77777777" w:rsidR="00802652" w:rsidRPr="00F645B2" w:rsidRDefault="00802652" w:rsidP="00F645B2">
            <w:pPr>
              <w:spacing w:line="240" w:lineRule="auto"/>
              <w:rPr>
                <w:rFonts w:cs="Arial"/>
                <w:sz w:val="20"/>
                <w:szCs w:val="20"/>
              </w:rPr>
            </w:pPr>
            <w:r w:rsidRPr="00F645B2">
              <w:rPr>
                <w:rFonts w:cs="Arial"/>
                <w:sz w:val="20"/>
                <w:szCs w:val="20"/>
              </w:rPr>
              <w:t>EFTS declin</w:t>
            </w:r>
            <w:r w:rsidR="00F645B2" w:rsidRPr="00F645B2">
              <w:rPr>
                <w:rFonts w:cs="Arial"/>
                <w:sz w:val="20"/>
                <w:szCs w:val="20"/>
              </w:rPr>
              <w:t>ing</w:t>
            </w:r>
            <w:r w:rsidRPr="00F645B2">
              <w:rPr>
                <w:rFonts w:cs="Arial"/>
                <w:sz w:val="20"/>
                <w:szCs w:val="20"/>
              </w:rPr>
              <w:t xml:space="preserve"> </w:t>
            </w:r>
            <w:r w:rsidR="00F645B2" w:rsidRPr="00F645B2">
              <w:rPr>
                <w:rFonts w:cs="Arial"/>
                <w:sz w:val="20"/>
                <w:szCs w:val="20"/>
              </w:rPr>
              <w:t>by 5% or more as a two year moving average when compared with prior two year period</w:t>
            </w:r>
          </w:p>
        </w:tc>
        <w:tc>
          <w:tcPr>
            <w:tcW w:w="1417" w:type="dxa"/>
            <w:gridSpan w:val="2"/>
            <w:shd w:val="clear" w:color="auto" w:fill="F2F2F2" w:themeFill="background1" w:themeFillShade="F2"/>
          </w:tcPr>
          <w:p w14:paraId="7EC68C4C" w14:textId="77777777" w:rsidR="00802652" w:rsidRPr="00C966A2" w:rsidRDefault="00802652" w:rsidP="00C92987">
            <w:pPr>
              <w:spacing w:line="240" w:lineRule="auto"/>
              <w:rPr>
                <w:rFonts w:cs="Arial"/>
                <w:sz w:val="20"/>
                <w:szCs w:val="20"/>
              </w:rPr>
            </w:pPr>
          </w:p>
        </w:tc>
        <w:tc>
          <w:tcPr>
            <w:tcW w:w="4820" w:type="dxa"/>
          </w:tcPr>
          <w:p w14:paraId="22014163" w14:textId="77777777" w:rsidR="00802652" w:rsidRDefault="00802652" w:rsidP="00C92987">
            <w:pPr>
              <w:spacing w:line="240" w:lineRule="auto"/>
              <w:rPr>
                <w:rFonts w:cs="Arial"/>
                <w:sz w:val="20"/>
                <w:szCs w:val="20"/>
              </w:rPr>
            </w:pPr>
            <w:r>
              <w:rPr>
                <w:rFonts w:cs="Arial"/>
                <w:sz w:val="20"/>
                <w:szCs w:val="20"/>
              </w:rPr>
              <w:t>I</w:t>
            </w:r>
            <w:r w:rsidRPr="005569CB">
              <w:rPr>
                <w:rFonts w:cs="Arial"/>
                <w:sz w:val="20"/>
                <w:szCs w:val="20"/>
              </w:rPr>
              <w:t xml:space="preserve">ndicates whether the </w:t>
            </w:r>
            <w:r>
              <w:rPr>
                <w:rFonts w:cs="Arial"/>
                <w:sz w:val="20"/>
                <w:szCs w:val="20"/>
              </w:rPr>
              <w:t>entity’s delivery is growing or shrinking.</w:t>
            </w:r>
          </w:p>
          <w:p w14:paraId="25363D85" w14:textId="77777777" w:rsidR="00802652" w:rsidRPr="00C966A2" w:rsidRDefault="00802652" w:rsidP="00C92987">
            <w:pPr>
              <w:spacing w:line="240" w:lineRule="auto"/>
              <w:rPr>
                <w:rFonts w:cs="Arial"/>
                <w:sz w:val="20"/>
                <w:szCs w:val="20"/>
              </w:rPr>
            </w:pPr>
            <w:r w:rsidRPr="005569CB">
              <w:rPr>
                <w:rFonts w:cs="Arial"/>
                <w:sz w:val="20"/>
                <w:szCs w:val="20"/>
              </w:rPr>
              <w:t>Large changes in TEC funding EFTS levels may create financial risks</w:t>
            </w:r>
            <w:r>
              <w:rPr>
                <w:rFonts w:cs="Arial"/>
                <w:sz w:val="20"/>
                <w:szCs w:val="20"/>
              </w:rPr>
              <w:t xml:space="preserve"> and r</w:t>
            </w:r>
            <w:r w:rsidRPr="005569CB">
              <w:rPr>
                <w:rFonts w:cs="Arial"/>
                <w:sz w:val="20"/>
                <w:szCs w:val="20"/>
              </w:rPr>
              <w:t>educing student numbers may indicate</w:t>
            </w:r>
            <w:r>
              <w:rPr>
                <w:rFonts w:cs="Arial"/>
                <w:sz w:val="20"/>
                <w:szCs w:val="20"/>
              </w:rPr>
              <w:t xml:space="preserve"> trouble.</w:t>
            </w:r>
          </w:p>
        </w:tc>
      </w:tr>
      <w:tr w:rsidR="00802652" w:rsidRPr="00C966A2" w14:paraId="2EE06353" w14:textId="77777777" w:rsidTr="00BD4733">
        <w:tc>
          <w:tcPr>
            <w:tcW w:w="426" w:type="dxa"/>
          </w:tcPr>
          <w:p w14:paraId="17C08EEC" w14:textId="77777777" w:rsidR="00802652" w:rsidRPr="00C966A2" w:rsidRDefault="00802652" w:rsidP="00C92987">
            <w:pPr>
              <w:spacing w:line="240" w:lineRule="auto"/>
              <w:rPr>
                <w:rFonts w:cs="Arial"/>
                <w:sz w:val="20"/>
                <w:szCs w:val="20"/>
              </w:rPr>
            </w:pPr>
            <w:r w:rsidRPr="00C966A2">
              <w:rPr>
                <w:rFonts w:cs="Arial"/>
                <w:sz w:val="20"/>
                <w:szCs w:val="20"/>
              </w:rPr>
              <w:t>1</w:t>
            </w:r>
            <w:r>
              <w:rPr>
                <w:rFonts w:cs="Arial"/>
                <w:sz w:val="20"/>
                <w:szCs w:val="20"/>
              </w:rPr>
              <w:t>4</w:t>
            </w:r>
          </w:p>
        </w:tc>
        <w:tc>
          <w:tcPr>
            <w:tcW w:w="1743" w:type="dxa"/>
          </w:tcPr>
          <w:p w14:paraId="5137C242" w14:textId="77777777" w:rsidR="00802652" w:rsidRDefault="00802652" w:rsidP="00C92987">
            <w:pPr>
              <w:spacing w:line="240" w:lineRule="auto"/>
              <w:rPr>
                <w:rFonts w:cs="Arial"/>
                <w:sz w:val="20"/>
                <w:szCs w:val="20"/>
              </w:rPr>
            </w:pPr>
            <w:r w:rsidRPr="00C966A2">
              <w:rPr>
                <w:rFonts w:cs="Arial"/>
                <w:sz w:val="20"/>
                <w:szCs w:val="20"/>
              </w:rPr>
              <w:t xml:space="preserve">Change in Total </w:t>
            </w:r>
            <w:r>
              <w:rPr>
                <w:rFonts w:cs="Arial"/>
                <w:sz w:val="20"/>
                <w:szCs w:val="20"/>
              </w:rPr>
              <w:t>r</w:t>
            </w:r>
            <w:r w:rsidRPr="00C966A2">
              <w:rPr>
                <w:rFonts w:cs="Arial"/>
                <w:sz w:val="20"/>
                <w:szCs w:val="20"/>
              </w:rPr>
              <w:t>evenue</w:t>
            </w:r>
          </w:p>
          <w:p w14:paraId="6324459A" w14:textId="77777777" w:rsidR="00802652" w:rsidRPr="00C966A2" w:rsidRDefault="00802652" w:rsidP="00C92987">
            <w:pPr>
              <w:spacing w:line="240" w:lineRule="auto"/>
              <w:rPr>
                <w:rFonts w:cs="Arial"/>
                <w:sz w:val="20"/>
                <w:szCs w:val="20"/>
              </w:rPr>
            </w:pPr>
            <w:r w:rsidRPr="002220C1">
              <w:rPr>
                <w:rFonts w:cs="Arial"/>
                <w:i/>
                <w:sz w:val="20"/>
                <w:szCs w:val="20"/>
              </w:rPr>
              <w:t xml:space="preserve">Total revenue from all sources </w:t>
            </w:r>
            <w:r>
              <w:rPr>
                <w:rFonts w:cs="Arial"/>
                <w:i/>
                <w:sz w:val="20"/>
                <w:szCs w:val="20"/>
              </w:rPr>
              <w:t>from</w:t>
            </w:r>
            <w:r w:rsidRPr="002220C1">
              <w:rPr>
                <w:rFonts w:cs="Arial"/>
                <w:i/>
                <w:sz w:val="20"/>
                <w:szCs w:val="20"/>
              </w:rPr>
              <w:t xml:space="preserve"> the most recent annual financial reports</w:t>
            </w:r>
          </w:p>
        </w:tc>
        <w:tc>
          <w:tcPr>
            <w:tcW w:w="1375" w:type="dxa"/>
          </w:tcPr>
          <w:p w14:paraId="018F06CE" w14:textId="77777777" w:rsidR="00802652" w:rsidRPr="00C966A2" w:rsidRDefault="00802652" w:rsidP="00C92987">
            <w:pPr>
              <w:spacing w:line="240" w:lineRule="auto"/>
              <w:rPr>
                <w:rFonts w:cs="Arial"/>
                <w:sz w:val="20"/>
                <w:szCs w:val="20"/>
              </w:rPr>
            </w:pPr>
            <w:r w:rsidRPr="00C966A2">
              <w:rPr>
                <w:rFonts w:cs="Arial"/>
                <w:sz w:val="20"/>
                <w:szCs w:val="20"/>
              </w:rPr>
              <w:t xml:space="preserve">Increases year on year over the last three years </w:t>
            </w:r>
          </w:p>
        </w:tc>
        <w:tc>
          <w:tcPr>
            <w:tcW w:w="1418" w:type="dxa"/>
          </w:tcPr>
          <w:p w14:paraId="6704C8DA" w14:textId="77777777" w:rsidR="00802652" w:rsidRPr="00C966A2" w:rsidRDefault="00802652" w:rsidP="00C92987">
            <w:pPr>
              <w:spacing w:line="240" w:lineRule="auto"/>
              <w:rPr>
                <w:rFonts w:cs="Arial"/>
                <w:sz w:val="20"/>
                <w:szCs w:val="20"/>
              </w:rPr>
            </w:pPr>
            <w:r w:rsidRPr="00C966A2">
              <w:rPr>
                <w:rFonts w:cs="Arial"/>
                <w:sz w:val="20"/>
                <w:szCs w:val="20"/>
              </w:rPr>
              <w:t>Increases in current year over previous year</w:t>
            </w:r>
          </w:p>
        </w:tc>
        <w:tc>
          <w:tcPr>
            <w:tcW w:w="1417" w:type="dxa"/>
          </w:tcPr>
          <w:p w14:paraId="3D9A3FFE" w14:textId="77777777" w:rsidR="00802652" w:rsidRPr="00727261" w:rsidRDefault="00802652" w:rsidP="00BD4733">
            <w:pPr>
              <w:spacing w:line="240" w:lineRule="auto"/>
              <w:rPr>
                <w:rFonts w:cs="Arial"/>
                <w:sz w:val="20"/>
                <w:szCs w:val="20"/>
              </w:rPr>
            </w:pPr>
            <w:r w:rsidRPr="00727261">
              <w:rPr>
                <w:rFonts w:cs="Arial"/>
                <w:sz w:val="20"/>
                <w:szCs w:val="20"/>
              </w:rPr>
              <w:t xml:space="preserve">Income static or declining/ increasing by less than 5% as a two year moving average compared with the previous two years </w:t>
            </w:r>
          </w:p>
          <w:p w14:paraId="6195CEAF" w14:textId="77777777" w:rsidR="00BD4733" w:rsidRPr="00C966A2" w:rsidRDefault="00BD4733" w:rsidP="00BD4733">
            <w:pPr>
              <w:spacing w:line="240" w:lineRule="auto"/>
              <w:rPr>
                <w:rFonts w:cs="Arial"/>
                <w:sz w:val="20"/>
                <w:szCs w:val="20"/>
              </w:rPr>
            </w:pPr>
            <w:r w:rsidRPr="00727261">
              <w:rPr>
                <w:rFonts w:cstheme="minorHAnsi"/>
                <w:sz w:val="20"/>
                <w:szCs w:val="20"/>
              </w:rPr>
              <w:t>New provider</w:t>
            </w:r>
            <w:r>
              <w:rPr>
                <w:rFonts w:cstheme="minorHAnsi"/>
                <w:sz w:val="20"/>
                <w:szCs w:val="20"/>
              </w:rPr>
              <w:t xml:space="preserve"> (with no comparatives)</w:t>
            </w:r>
          </w:p>
        </w:tc>
        <w:tc>
          <w:tcPr>
            <w:tcW w:w="1418" w:type="dxa"/>
          </w:tcPr>
          <w:p w14:paraId="4B27007E" w14:textId="77777777" w:rsidR="00802652" w:rsidRPr="00C966A2" w:rsidRDefault="00802652" w:rsidP="00C92987">
            <w:pPr>
              <w:spacing w:line="240" w:lineRule="auto"/>
              <w:rPr>
                <w:rFonts w:cs="Arial"/>
                <w:sz w:val="20"/>
                <w:szCs w:val="20"/>
              </w:rPr>
            </w:pPr>
            <w:r w:rsidRPr="00C966A2">
              <w:rPr>
                <w:rFonts w:cs="Arial"/>
                <w:sz w:val="20"/>
                <w:szCs w:val="20"/>
              </w:rPr>
              <w:t>Total revenue declines year on year over the last three years</w:t>
            </w:r>
          </w:p>
          <w:p w14:paraId="324AB159" w14:textId="77777777" w:rsidR="00802652" w:rsidRPr="00C966A2" w:rsidRDefault="00802652" w:rsidP="00C92987">
            <w:pPr>
              <w:spacing w:line="240" w:lineRule="auto"/>
              <w:rPr>
                <w:rFonts w:cs="Arial"/>
                <w:sz w:val="20"/>
                <w:szCs w:val="20"/>
              </w:rPr>
            </w:pPr>
          </w:p>
        </w:tc>
        <w:tc>
          <w:tcPr>
            <w:tcW w:w="1417" w:type="dxa"/>
            <w:gridSpan w:val="2"/>
            <w:shd w:val="clear" w:color="auto" w:fill="F2F2F2" w:themeFill="background1" w:themeFillShade="F2"/>
          </w:tcPr>
          <w:p w14:paraId="7682796C" w14:textId="77777777" w:rsidR="00802652" w:rsidRPr="00C966A2" w:rsidRDefault="00802652" w:rsidP="00C92987">
            <w:pPr>
              <w:spacing w:line="240" w:lineRule="auto"/>
              <w:rPr>
                <w:rFonts w:cs="Arial"/>
                <w:sz w:val="20"/>
                <w:szCs w:val="20"/>
              </w:rPr>
            </w:pPr>
          </w:p>
        </w:tc>
        <w:tc>
          <w:tcPr>
            <w:tcW w:w="4820" w:type="dxa"/>
          </w:tcPr>
          <w:p w14:paraId="06791920" w14:textId="77777777" w:rsidR="00802652" w:rsidRDefault="00802652" w:rsidP="00C92987">
            <w:pPr>
              <w:spacing w:line="240" w:lineRule="auto"/>
              <w:rPr>
                <w:rFonts w:cs="Arial"/>
                <w:sz w:val="20"/>
                <w:szCs w:val="20"/>
              </w:rPr>
            </w:pPr>
            <w:r w:rsidRPr="00D63A83">
              <w:rPr>
                <w:rFonts w:cs="Arial"/>
                <w:sz w:val="20"/>
                <w:szCs w:val="20"/>
              </w:rPr>
              <w:t>This is a</w:t>
            </w:r>
            <w:r>
              <w:rPr>
                <w:rFonts w:cs="Arial"/>
                <w:sz w:val="20"/>
                <w:szCs w:val="20"/>
              </w:rPr>
              <w:t xml:space="preserve"> </w:t>
            </w:r>
            <w:r w:rsidRPr="00D63A83">
              <w:rPr>
                <w:rFonts w:cs="Arial"/>
                <w:sz w:val="20"/>
                <w:szCs w:val="20"/>
              </w:rPr>
              <w:t>growth indicat</w:t>
            </w:r>
            <w:r>
              <w:rPr>
                <w:rFonts w:cs="Arial"/>
                <w:sz w:val="20"/>
                <w:szCs w:val="20"/>
              </w:rPr>
              <w:t>or. PTE</w:t>
            </w:r>
            <w:r w:rsidRPr="00D63A83">
              <w:rPr>
                <w:rFonts w:cs="Arial"/>
                <w:sz w:val="20"/>
                <w:szCs w:val="20"/>
              </w:rPr>
              <w:t xml:space="preserve">s </w:t>
            </w:r>
            <w:r w:rsidR="00067C1F">
              <w:rPr>
                <w:rFonts w:cs="Arial"/>
                <w:sz w:val="20"/>
                <w:szCs w:val="20"/>
              </w:rPr>
              <w:t>with</w:t>
            </w:r>
            <w:r w:rsidRPr="00D63A83">
              <w:rPr>
                <w:rFonts w:cs="Arial"/>
                <w:sz w:val="20"/>
                <w:szCs w:val="20"/>
              </w:rPr>
              <w:t xml:space="preserve"> falling revenue may experience financial issues, </w:t>
            </w:r>
            <w:r w:rsidR="00067C1F">
              <w:rPr>
                <w:rFonts w:cs="Arial"/>
                <w:sz w:val="20"/>
                <w:szCs w:val="20"/>
              </w:rPr>
              <w:t>including</w:t>
            </w:r>
            <w:r w:rsidRPr="00D63A83">
              <w:rPr>
                <w:rFonts w:cs="Arial"/>
                <w:sz w:val="20"/>
                <w:szCs w:val="20"/>
              </w:rPr>
              <w:t xml:space="preserve"> reduced profitability. Material and sustainable revenue drops can indicate heightened risk th</w:t>
            </w:r>
            <w:r>
              <w:rPr>
                <w:rFonts w:cs="Arial"/>
                <w:sz w:val="20"/>
                <w:szCs w:val="20"/>
              </w:rPr>
              <w:t>at will need to be well managed.</w:t>
            </w:r>
          </w:p>
          <w:p w14:paraId="6EC5A1E3" w14:textId="77777777" w:rsidR="00802652" w:rsidRPr="008C0261" w:rsidRDefault="00802652" w:rsidP="00C92987">
            <w:pPr>
              <w:spacing w:line="240" w:lineRule="auto"/>
              <w:rPr>
                <w:rFonts w:cs="Arial"/>
                <w:sz w:val="20"/>
                <w:szCs w:val="20"/>
              </w:rPr>
            </w:pPr>
            <w:r w:rsidRPr="008C0261">
              <w:rPr>
                <w:rFonts w:cs="Arial"/>
                <w:sz w:val="20"/>
                <w:szCs w:val="20"/>
              </w:rPr>
              <w:t xml:space="preserve">Total revenue </w:t>
            </w:r>
            <w:r>
              <w:rPr>
                <w:rFonts w:cs="Arial"/>
                <w:sz w:val="20"/>
                <w:szCs w:val="20"/>
              </w:rPr>
              <w:t>i</w:t>
            </w:r>
            <w:r w:rsidRPr="008C0261">
              <w:rPr>
                <w:rFonts w:cs="Arial"/>
                <w:sz w:val="20"/>
                <w:szCs w:val="20"/>
              </w:rPr>
              <w:t xml:space="preserve">s </w:t>
            </w:r>
            <w:r>
              <w:rPr>
                <w:rFonts w:cs="Arial"/>
                <w:sz w:val="20"/>
                <w:szCs w:val="20"/>
              </w:rPr>
              <w:t xml:space="preserve">operating revenue plus </w:t>
            </w:r>
            <w:r w:rsidRPr="008C0261">
              <w:rPr>
                <w:rFonts w:cs="Arial"/>
                <w:sz w:val="20"/>
                <w:szCs w:val="20"/>
              </w:rPr>
              <w:t xml:space="preserve">interest received </w:t>
            </w:r>
            <w:r>
              <w:rPr>
                <w:rFonts w:cs="Arial"/>
                <w:sz w:val="20"/>
                <w:szCs w:val="20"/>
              </w:rPr>
              <w:t>plus</w:t>
            </w:r>
            <w:r w:rsidRPr="008C0261">
              <w:rPr>
                <w:rFonts w:cs="Arial"/>
                <w:sz w:val="20"/>
                <w:szCs w:val="20"/>
              </w:rPr>
              <w:t xml:space="preserve"> gains (or losses) on revaluation of assets</w:t>
            </w:r>
            <w:r>
              <w:rPr>
                <w:rFonts w:cs="Arial"/>
                <w:sz w:val="20"/>
                <w:szCs w:val="20"/>
              </w:rPr>
              <w:t>.</w:t>
            </w:r>
          </w:p>
        </w:tc>
      </w:tr>
      <w:tr w:rsidR="00F7364A" w:rsidRPr="00C966A2" w14:paraId="40084036" w14:textId="77777777" w:rsidTr="002159ED">
        <w:tc>
          <w:tcPr>
            <w:tcW w:w="426" w:type="dxa"/>
          </w:tcPr>
          <w:p w14:paraId="714F2351" w14:textId="77777777" w:rsidR="00F7364A" w:rsidRPr="00C966A2" w:rsidRDefault="00F7364A" w:rsidP="00F7364A">
            <w:pPr>
              <w:spacing w:line="240" w:lineRule="auto"/>
              <w:rPr>
                <w:rFonts w:cs="Arial"/>
                <w:sz w:val="20"/>
                <w:szCs w:val="20"/>
              </w:rPr>
            </w:pPr>
            <w:r w:rsidRPr="00C966A2">
              <w:rPr>
                <w:rFonts w:cs="Arial"/>
                <w:sz w:val="20"/>
                <w:szCs w:val="20"/>
              </w:rPr>
              <w:t>1</w:t>
            </w:r>
            <w:r>
              <w:rPr>
                <w:rFonts w:cs="Arial"/>
                <w:sz w:val="20"/>
                <w:szCs w:val="20"/>
              </w:rPr>
              <w:t>5</w:t>
            </w:r>
          </w:p>
        </w:tc>
        <w:tc>
          <w:tcPr>
            <w:tcW w:w="1743" w:type="dxa"/>
          </w:tcPr>
          <w:p w14:paraId="040AD52A" w14:textId="77777777" w:rsidR="00F7364A" w:rsidRDefault="00F7364A" w:rsidP="00F7364A">
            <w:pPr>
              <w:spacing w:line="240" w:lineRule="auto"/>
              <w:rPr>
                <w:rFonts w:cs="Arial"/>
                <w:i/>
                <w:sz w:val="20"/>
                <w:szCs w:val="20"/>
              </w:rPr>
            </w:pPr>
            <w:r w:rsidRPr="00C966A2">
              <w:rPr>
                <w:rFonts w:cs="Arial"/>
                <w:sz w:val="20"/>
                <w:szCs w:val="20"/>
              </w:rPr>
              <w:t>Interest coverage ratio</w:t>
            </w:r>
          </w:p>
          <w:p w14:paraId="2EA04DC1" w14:textId="77777777" w:rsidR="00F7364A" w:rsidRPr="00C966A2" w:rsidRDefault="00F7364A" w:rsidP="00F7364A">
            <w:pPr>
              <w:spacing w:line="240" w:lineRule="auto"/>
              <w:rPr>
                <w:rFonts w:cs="Arial"/>
                <w:sz w:val="20"/>
                <w:szCs w:val="20"/>
              </w:rPr>
            </w:pPr>
            <w:r w:rsidRPr="003F2683">
              <w:rPr>
                <w:rFonts w:cs="Arial"/>
                <w:i/>
                <w:sz w:val="20"/>
                <w:szCs w:val="20"/>
              </w:rPr>
              <w:t>Earnings before interest expense and tax/Interest expense</w:t>
            </w:r>
          </w:p>
        </w:tc>
        <w:tc>
          <w:tcPr>
            <w:tcW w:w="1375" w:type="dxa"/>
          </w:tcPr>
          <w:p w14:paraId="56D3A001" w14:textId="77777777" w:rsidR="00F7364A" w:rsidRDefault="00F7364A" w:rsidP="00F7364A">
            <w:pPr>
              <w:rPr>
                <w:rFonts w:cs="Arial"/>
                <w:sz w:val="20"/>
                <w:szCs w:val="20"/>
              </w:rPr>
            </w:pPr>
            <w:r w:rsidRPr="00E15C74">
              <w:rPr>
                <w:rFonts w:cstheme="minorHAnsi"/>
                <w:sz w:val="20"/>
                <w:szCs w:val="20"/>
              </w:rPr>
              <w:t xml:space="preserve">Greater than </w:t>
            </w:r>
            <w:r>
              <w:rPr>
                <w:rFonts w:cstheme="minorHAnsi"/>
                <w:sz w:val="20"/>
                <w:szCs w:val="20"/>
              </w:rPr>
              <w:t xml:space="preserve">or equal to </w:t>
            </w:r>
            <w:r w:rsidRPr="00C966A2">
              <w:rPr>
                <w:rFonts w:cs="Arial"/>
                <w:sz w:val="20"/>
                <w:szCs w:val="20"/>
              </w:rPr>
              <w:t>12.0:1</w:t>
            </w:r>
            <w:r>
              <w:rPr>
                <w:rFonts w:cs="Arial"/>
                <w:sz w:val="20"/>
                <w:szCs w:val="20"/>
              </w:rPr>
              <w:t xml:space="preserve"> </w:t>
            </w:r>
            <w:r w:rsidRPr="00C966A2">
              <w:rPr>
                <w:rFonts w:cs="Arial"/>
                <w:sz w:val="20"/>
                <w:szCs w:val="20"/>
              </w:rPr>
              <w:t xml:space="preserve">or </w:t>
            </w:r>
            <w:r>
              <w:rPr>
                <w:rFonts w:cs="Arial"/>
                <w:sz w:val="20"/>
                <w:szCs w:val="20"/>
              </w:rPr>
              <w:t>1200%</w:t>
            </w:r>
          </w:p>
          <w:p w14:paraId="0FAE3DBA" w14:textId="77777777" w:rsidR="00F7364A" w:rsidRDefault="00F7364A" w:rsidP="00F7364A">
            <w:pPr>
              <w:rPr>
                <w:rFonts w:cs="Arial"/>
                <w:sz w:val="20"/>
                <w:szCs w:val="20"/>
              </w:rPr>
            </w:pPr>
            <w:r>
              <w:rPr>
                <w:rFonts w:cs="Arial"/>
                <w:sz w:val="20"/>
                <w:szCs w:val="20"/>
              </w:rPr>
              <w:t>or</w:t>
            </w:r>
          </w:p>
          <w:p w14:paraId="2A82C99C" w14:textId="77777777" w:rsidR="00F7364A" w:rsidRPr="00C966A2" w:rsidRDefault="00F7364A" w:rsidP="00F7364A">
            <w:pPr>
              <w:rPr>
                <w:rFonts w:cs="Arial"/>
                <w:sz w:val="20"/>
                <w:szCs w:val="20"/>
              </w:rPr>
            </w:pPr>
            <w:r w:rsidRPr="000A7DB2">
              <w:rPr>
                <w:rFonts w:cs="Arial"/>
                <w:sz w:val="20"/>
                <w:szCs w:val="20"/>
              </w:rPr>
              <w:t>Interest costs under $10,000</w:t>
            </w:r>
          </w:p>
        </w:tc>
        <w:tc>
          <w:tcPr>
            <w:tcW w:w="1418" w:type="dxa"/>
          </w:tcPr>
          <w:p w14:paraId="767D329F" w14:textId="77777777" w:rsidR="00F7364A" w:rsidRPr="00E15C74" w:rsidRDefault="00F7364A" w:rsidP="00F7364A">
            <w:pPr>
              <w:rPr>
                <w:rFonts w:cstheme="minorHAnsi"/>
                <w:sz w:val="20"/>
                <w:szCs w:val="20"/>
              </w:rPr>
            </w:pPr>
            <w:r w:rsidRPr="00E15C74">
              <w:rPr>
                <w:rFonts w:cstheme="minorHAnsi"/>
                <w:sz w:val="20"/>
                <w:szCs w:val="20"/>
              </w:rPr>
              <w:t xml:space="preserve">Greater than </w:t>
            </w:r>
            <w:r>
              <w:rPr>
                <w:rFonts w:cstheme="minorHAnsi"/>
                <w:sz w:val="20"/>
                <w:szCs w:val="20"/>
              </w:rPr>
              <w:t>300%</w:t>
            </w:r>
            <w:r w:rsidRPr="00E15C74">
              <w:rPr>
                <w:rFonts w:cstheme="minorHAnsi"/>
                <w:sz w:val="20"/>
                <w:szCs w:val="20"/>
              </w:rPr>
              <w:t xml:space="preserve"> but less than 12</w:t>
            </w:r>
            <w:r>
              <w:rPr>
                <w:rFonts w:cstheme="minorHAnsi"/>
                <w:sz w:val="20"/>
                <w:szCs w:val="20"/>
              </w:rPr>
              <w:t>00%</w:t>
            </w:r>
          </w:p>
        </w:tc>
        <w:tc>
          <w:tcPr>
            <w:tcW w:w="1417" w:type="dxa"/>
          </w:tcPr>
          <w:p w14:paraId="3C0BEC82" w14:textId="77777777" w:rsidR="00F7364A" w:rsidRPr="00E15C74" w:rsidRDefault="00F7364A" w:rsidP="00F7364A">
            <w:pPr>
              <w:rPr>
                <w:rFonts w:cstheme="minorHAnsi"/>
                <w:sz w:val="20"/>
                <w:szCs w:val="20"/>
              </w:rPr>
            </w:pPr>
            <w:r w:rsidRPr="00E15C74">
              <w:rPr>
                <w:rFonts w:cstheme="minorHAnsi"/>
                <w:sz w:val="20"/>
                <w:szCs w:val="20"/>
              </w:rPr>
              <w:t>Greater than 1</w:t>
            </w:r>
            <w:r>
              <w:rPr>
                <w:rFonts w:cstheme="minorHAnsi"/>
                <w:sz w:val="20"/>
                <w:szCs w:val="20"/>
              </w:rPr>
              <w:t>50%</w:t>
            </w:r>
            <w:r w:rsidRPr="00E15C74">
              <w:rPr>
                <w:rFonts w:cstheme="minorHAnsi"/>
                <w:sz w:val="20"/>
                <w:szCs w:val="20"/>
              </w:rPr>
              <w:t xml:space="preserve"> but less than 3</w:t>
            </w:r>
            <w:r>
              <w:rPr>
                <w:rFonts w:cstheme="minorHAnsi"/>
                <w:sz w:val="20"/>
                <w:szCs w:val="20"/>
              </w:rPr>
              <w:t>00%</w:t>
            </w:r>
          </w:p>
        </w:tc>
        <w:tc>
          <w:tcPr>
            <w:tcW w:w="1418" w:type="dxa"/>
          </w:tcPr>
          <w:p w14:paraId="307CFCB0" w14:textId="77777777" w:rsidR="00F7364A" w:rsidRPr="00E15C74" w:rsidRDefault="00F7364A" w:rsidP="00F7364A">
            <w:pPr>
              <w:rPr>
                <w:rFonts w:cstheme="minorHAnsi"/>
                <w:sz w:val="20"/>
                <w:szCs w:val="20"/>
              </w:rPr>
            </w:pPr>
            <w:r w:rsidRPr="00E15C74">
              <w:rPr>
                <w:rFonts w:cstheme="minorHAnsi"/>
                <w:sz w:val="20"/>
                <w:szCs w:val="20"/>
              </w:rPr>
              <w:t>Less than 1</w:t>
            </w:r>
            <w:r>
              <w:rPr>
                <w:rFonts w:cstheme="minorHAnsi"/>
                <w:sz w:val="20"/>
                <w:szCs w:val="20"/>
              </w:rPr>
              <w:t>50%</w:t>
            </w:r>
            <w:r w:rsidRPr="00E15C74">
              <w:rPr>
                <w:rFonts w:cstheme="minorHAnsi"/>
                <w:sz w:val="20"/>
                <w:szCs w:val="20"/>
              </w:rPr>
              <w:t xml:space="preserve"> but greater than 1</w:t>
            </w:r>
            <w:r>
              <w:rPr>
                <w:rFonts w:cstheme="minorHAnsi"/>
                <w:sz w:val="20"/>
                <w:szCs w:val="20"/>
              </w:rPr>
              <w:t>00%</w:t>
            </w:r>
          </w:p>
        </w:tc>
        <w:tc>
          <w:tcPr>
            <w:tcW w:w="1417" w:type="dxa"/>
            <w:gridSpan w:val="2"/>
          </w:tcPr>
          <w:p w14:paraId="45F6AE06" w14:textId="77777777" w:rsidR="00F7364A" w:rsidRPr="00C966A2" w:rsidRDefault="00F7364A" w:rsidP="00F7364A">
            <w:pPr>
              <w:rPr>
                <w:rFonts w:cs="Arial"/>
                <w:sz w:val="20"/>
                <w:szCs w:val="20"/>
              </w:rPr>
            </w:pPr>
            <w:r w:rsidRPr="00C966A2">
              <w:rPr>
                <w:rFonts w:cs="Arial"/>
                <w:sz w:val="20"/>
                <w:szCs w:val="20"/>
              </w:rPr>
              <w:t>Less than 1</w:t>
            </w:r>
            <w:r>
              <w:rPr>
                <w:rFonts w:cs="Arial"/>
                <w:sz w:val="20"/>
                <w:szCs w:val="20"/>
              </w:rPr>
              <w:t>00%</w:t>
            </w:r>
          </w:p>
        </w:tc>
        <w:tc>
          <w:tcPr>
            <w:tcW w:w="4820" w:type="dxa"/>
          </w:tcPr>
          <w:p w14:paraId="237EFDF7" w14:textId="77777777" w:rsidR="00F7364A" w:rsidRDefault="00F7364A" w:rsidP="00F7364A">
            <w:pPr>
              <w:spacing w:line="240" w:lineRule="auto"/>
              <w:rPr>
                <w:rFonts w:cs="Arial"/>
                <w:sz w:val="20"/>
                <w:szCs w:val="20"/>
              </w:rPr>
            </w:pPr>
            <w:r>
              <w:rPr>
                <w:rFonts w:cs="Arial"/>
                <w:sz w:val="20"/>
                <w:szCs w:val="20"/>
              </w:rPr>
              <w:t>I</w:t>
            </w:r>
            <w:r w:rsidRPr="00D63A83">
              <w:rPr>
                <w:rFonts w:cs="Arial"/>
                <w:sz w:val="20"/>
                <w:szCs w:val="20"/>
              </w:rPr>
              <w:t xml:space="preserve">ndicates ability to finance debt from </w:t>
            </w:r>
            <w:r>
              <w:rPr>
                <w:rFonts w:cs="Arial"/>
                <w:sz w:val="20"/>
                <w:szCs w:val="20"/>
              </w:rPr>
              <w:t>cash generated from operations.</w:t>
            </w:r>
          </w:p>
          <w:p w14:paraId="59E1A1C7" w14:textId="77777777" w:rsidR="00F7364A" w:rsidRPr="00C966A2" w:rsidRDefault="00F7364A" w:rsidP="00F7364A">
            <w:pPr>
              <w:spacing w:line="240" w:lineRule="auto"/>
              <w:rPr>
                <w:rFonts w:cs="Arial"/>
                <w:sz w:val="20"/>
                <w:szCs w:val="20"/>
              </w:rPr>
            </w:pPr>
            <w:r w:rsidRPr="00D63A83">
              <w:rPr>
                <w:rFonts w:cs="Arial"/>
                <w:sz w:val="20"/>
                <w:szCs w:val="20"/>
              </w:rPr>
              <w:t xml:space="preserve">Large one-off changes may be discounted from the ratio if we </w:t>
            </w:r>
            <w:r>
              <w:rPr>
                <w:rFonts w:cs="Arial"/>
                <w:sz w:val="20"/>
                <w:szCs w:val="20"/>
              </w:rPr>
              <w:t>agree these are abnormal items.</w:t>
            </w:r>
          </w:p>
        </w:tc>
      </w:tr>
    </w:tbl>
    <w:p w14:paraId="17942732" w14:textId="77777777" w:rsidR="00DB0044" w:rsidRPr="000A7DB2" w:rsidRDefault="00DB0044" w:rsidP="00C92987">
      <w:pPr>
        <w:spacing w:line="240" w:lineRule="auto"/>
        <w:rPr>
          <w:rFonts w:eastAsia="Times New Roman" w:cs="Arial"/>
        </w:rPr>
      </w:pPr>
    </w:p>
    <w:sectPr w:rsidR="00DB0044" w:rsidRPr="000A7DB2" w:rsidSect="00944819">
      <w:headerReference w:type="even" r:id="rId8"/>
      <w:headerReference w:type="default" r:id="rId9"/>
      <w:footerReference w:type="even"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A4B4" w14:textId="77777777" w:rsidR="00F931A5" w:rsidRDefault="00F931A5" w:rsidP="000A7DB2">
      <w:pPr>
        <w:spacing w:after="0" w:line="240" w:lineRule="auto"/>
      </w:pPr>
      <w:r>
        <w:separator/>
      </w:r>
    </w:p>
  </w:endnote>
  <w:endnote w:type="continuationSeparator" w:id="0">
    <w:p w14:paraId="3EAD3239" w14:textId="77777777" w:rsidR="00F931A5" w:rsidRDefault="00F931A5" w:rsidP="000A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5D05" w14:textId="7E76EEB2" w:rsidR="00727261" w:rsidRDefault="00860F26">
    <w:pPr>
      <w:pStyle w:val="Footer"/>
    </w:pPr>
    <w:r>
      <w:rPr>
        <w:noProof/>
      </w:rPr>
      <mc:AlternateContent>
        <mc:Choice Requires="wps">
          <w:drawing>
            <wp:anchor distT="0" distB="0" distL="0" distR="0" simplePos="0" relativeHeight="251662336" behindDoc="0" locked="0" layoutInCell="1" allowOverlap="1" wp14:anchorId="33B018FA" wp14:editId="0F40F9B7">
              <wp:simplePos x="635" y="635"/>
              <wp:positionH relativeFrom="page">
                <wp:align>center</wp:align>
              </wp:positionH>
              <wp:positionV relativeFrom="page">
                <wp:align>bottom</wp:align>
              </wp:positionV>
              <wp:extent cx="1003935" cy="391160"/>
              <wp:effectExtent l="0" t="0" r="5715" b="0"/>
              <wp:wrapNone/>
              <wp:docPr id="69181321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91160"/>
                      </a:xfrm>
                      <a:prstGeom prst="rect">
                        <a:avLst/>
                      </a:prstGeom>
                      <a:noFill/>
                      <a:ln>
                        <a:noFill/>
                      </a:ln>
                    </wps:spPr>
                    <wps:txbx>
                      <w:txbxContent>
                        <w:p w14:paraId="53C26910" w14:textId="64455B82" w:rsidR="00860F26" w:rsidRPr="00860F26" w:rsidRDefault="00860F26" w:rsidP="00860F26">
                          <w:pPr>
                            <w:spacing w:after="0"/>
                            <w:rPr>
                              <w:rFonts w:ascii="Aptos" w:eastAsia="Aptos" w:hAnsi="Aptos" w:cs="Aptos"/>
                              <w:noProof/>
                              <w:color w:val="000000"/>
                              <w:sz w:val="24"/>
                              <w:szCs w:val="24"/>
                            </w:rPr>
                          </w:pPr>
                          <w:r w:rsidRPr="00860F26">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018FA" id="_x0000_t202" coordsize="21600,21600" o:spt="202" path="m,l,21600r21600,l21600,xe">
              <v:stroke joinstyle="miter"/>
              <v:path gradientshapeok="t" o:connecttype="rect"/>
            </v:shapetype>
            <v:shape id="Text Box 5" o:spid="_x0000_s1028" type="#_x0000_t202" alt="UNCLASSIFIED" style="position:absolute;margin-left:0;margin-top:0;width:79.0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" filled="f" stroked="f">
              <v:textbox style="mso-fit-shape-to-text:t" inset="0,0,0,15pt">
                <w:txbxContent>
                  <w:p w14:paraId="53C26910" w14:textId="64455B82" w:rsidR="00860F26" w:rsidRPr="00860F26" w:rsidRDefault="00860F26" w:rsidP="00860F26">
                    <w:pPr>
                      <w:spacing w:after="0"/>
                      <w:rPr>
                        <w:rFonts w:ascii="Aptos" w:eastAsia="Aptos" w:hAnsi="Aptos" w:cs="Aptos"/>
                        <w:noProof/>
                        <w:color w:val="000000"/>
                        <w:sz w:val="24"/>
                        <w:szCs w:val="24"/>
                      </w:rPr>
                    </w:pPr>
                    <w:r w:rsidRPr="00860F26">
                      <w:rPr>
                        <w:rFonts w:ascii="Aptos" w:eastAsia="Aptos" w:hAnsi="Aptos" w:cs="Aptos"/>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69A4" w14:textId="6C854CD5" w:rsidR="00727261" w:rsidRDefault="00860F26">
    <w:pPr>
      <w:pStyle w:val="Footer"/>
    </w:pPr>
    <w:r>
      <w:rPr>
        <w:noProof/>
      </w:rPr>
      <mc:AlternateContent>
        <mc:Choice Requires="wps">
          <w:drawing>
            <wp:anchor distT="0" distB="0" distL="0" distR="0" simplePos="0" relativeHeight="251661312" behindDoc="0" locked="0" layoutInCell="1" allowOverlap="1" wp14:anchorId="50E167D0" wp14:editId="5B875B6D">
              <wp:simplePos x="635" y="635"/>
              <wp:positionH relativeFrom="page">
                <wp:align>center</wp:align>
              </wp:positionH>
              <wp:positionV relativeFrom="page">
                <wp:align>bottom</wp:align>
              </wp:positionV>
              <wp:extent cx="1003935" cy="391160"/>
              <wp:effectExtent l="0" t="0" r="5715" b="0"/>
              <wp:wrapNone/>
              <wp:docPr id="27525433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91160"/>
                      </a:xfrm>
                      <a:prstGeom prst="rect">
                        <a:avLst/>
                      </a:prstGeom>
                      <a:noFill/>
                      <a:ln>
                        <a:noFill/>
                      </a:ln>
                    </wps:spPr>
                    <wps:txbx>
                      <w:txbxContent>
                        <w:p w14:paraId="5031DD94" w14:textId="240E4DD6" w:rsidR="00860F26" w:rsidRPr="00860F26" w:rsidRDefault="00860F26" w:rsidP="00860F26">
                          <w:pPr>
                            <w:spacing w:after="0"/>
                            <w:rPr>
                              <w:rFonts w:ascii="Aptos" w:eastAsia="Aptos" w:hAnsi="Aptos" w:cs="Aptos"/>
                              <w:noProof/>
                              <w:color w:val="000000"/>
                              <w:sz w:val="24"/>
                              <w:szCs w:val="24"/>
                            </w:rPr>
                          </w:pPr>
                          <w:r w:rsidRPr="00860F26">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167D0" id="_x0000_t202" coordsize="21600,21600" o:spt="202" path="m,l,21600r21600,l21600,xe">
              <v:stroke joinstyle="miter"/>
              <v:path gradientshapeok="t" o:connecttype="rect"/>
            </v:shapetype>
            <v:shape id="Text Box 4" o:spid="_x0000_s1030" type="#_x0000_t202" alt="UNCLASSIFIED" style="position:absolute;margin-left:0;margin-top:0;width:79.0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" filled="f" stroked="f">
              <v:textbox style="mso-fit-shape-to-text:t" inset="0,0,0,15pt">
                <w:txbxContent>
                  <w:p w14:paraId="5031DD94" w14:textId="240E4DD6" w:rsidR="00860F26" w:rsidRPr="00860F26" w:rsidRDefault="00860F26" w:rsidP="00860F26">
                    <w:pPr>
                      <w:spacing w:after="0"/>
                      <w:rPr>
                        <w:rFonts w:ascii="Aptos" w:eastAsia="Aptos" w:hAnsi="Aptos" w:cs="Aptos"/>
                        <w:noProof/>
                        <w:color w:val="000000"/>
                        <w:sz w:val="24"/>
                        <w:szCs w:val="24"/>
                      </w:rPr>
                    </w:pPr>
                    <w:r w:rsidRPr="00860F26">
                      <w:rPr>
                        <w:rFonts w:ascii="Aptos" w:eastAsia="Aptos" w:hAnsi="Aptos" w:cs="Aptos"/>
                        <w:noProof/>
                        <w:color w:val="000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9F1D" w14:textId="77777777" w:rsidR="00F931A5" w:rsidRDefault="00F931A5" w:rsidP="000A7DB2">
      <w:pPr>
        <w:spacing w:after="0" w:line="240" w:lineRule="auto"/>
      </w:pPr>
      <w:r>
        <w:separator/>
      </w:r>
    </w:p>
  </w:footnote>
  <w:footnote w:type="continuationSeparator" w:id="0">
    <w:p w14:paraId="204820CD" w14:textId="77777777" w:rsidR="00F931A5" w:rsidRDefault="00F931A5" w:rsidP="000A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E50" w14:textId="0D814304" w:rsidR="00727261" w:rsidRDefault="00860F26">
    <w:pPr>
      <w:pStyle w:val="Header"/>
    </w:pPr>
    <w:r>
      <w:rPr>
        <w:noProof/>
      </w:rPr>
      <mc:AlternateContent>
        <mc:Choice Requires="wps">
          <w:drawing>
            <wp:anchor distT="0" distB="0" distL="0" distR="0" simplePos="0" relativeHeight="251659264" behindDoc="0" locked="0" layoutInCell="1" allowOverlap="1" wp14:anchorId="32F4AD25" wp14:editId="47913536">
              <wp:simplePos x="635" y="635"/>
              <wp:positionH relativeFrom="page">
                <wp:align>center</wp:align>
              </wp:positionH>
              <wp:positionV relativeFrom="page">
                <wp:align>top</wp:align>
              </wp:positionV>
              <wp:extent cx="1003935" cy="391160"/>
              <wp:effectExtent l="0" t="0" r="5715" b="8890"/>
              <wp:wrapNone/>
              <wp:docPr id="122069220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91160"/>
                      </a:xfrm>
                      <a:prstGeom prst="rect">
                        <a:avLst/>
                      </a:prstGeom>
                      <a:noFill/>
                      <a:ln>
                        <a:noFill/>
                      </a:ln>
                    </wps:spPr>
                    <wps:txbx>
                      <w:txbxContent>
                        <w:p w14:paraId="4FDAE830" w14:textId="1C0A6064" w:rsidR="00860F26" w:rsidRPr="00860F26" w:rsidRDefault="00860F26" w:rsidP="00860F26">
                          <w:pPr>
                            <w:spacing w:after="0"/>
                            <w:rPr>
                              <w:rFonts w:ascii="Aptos" w:eastAsia="Aptos" w:hAnsi="Aptos" w:cs="Aptos"/>
                              <w:noProof/>
                              <w:color w:val="000000"/>
                              <w:sz w:val="24"/>
                              <w:szCs w:val="24"/>
                            </w:rPr>
                          </w:pPr>
                          <w:r w:rsidRPr="00860F26">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F4AD25" id="_x0000_t202" coordsize="21600,21600" o:spt="202" path="m,l,21600r21600,l21600,xe">
              <v:stroke joinstyle="miter"/>
              <v:path gradientshapeok="t" o:connecttype="rect"/>
            </v:shapetype>
            <v:shape id="Text Box 2" o:spid="_x0000_s1026" type="#_x0000_t202" alt="UNCLASSIFIED" style="position:absolute;margin-left:0;margin-top:0;width:79.0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" filled="f" stroked="f">
              <v:textbox style="mso-fit-shape-to-text:t" inset="0,15pt,0,0">
                <w:txbxContent>
                  <w:p w14:paraId="4FDAE830" w14:textId="1C0A6064" w:rsidR="00860F26" w:rsidRPr="00860F26" w:rsidRDefault="00860F26" w:rsidP="00860F26">
                    <w:pPr>
                      <w:spacing w:after="0"/>
                      <w:rPr>
                        <w:rFonts w:ascii="Aptos" w:eastAsia="Aptos" w:hAnsi="Aptos" w:cs="Aptos"/>
                        <w:noProof/>
                        <w:color w:val="000000"/>
                        <w:sz w:val="24"/>
                        <w:szCs w:val="24"/>
                      </w:rPr>
                    </w:pPr>
                    <w:r w:rsidRPr="00860F26">
                      <w:rPr>
                        <w:rFonts w:ascii="Aptos" w:eastAsia="Aptos" w:hAnsi="Aptos" w:cs="Aptos"/>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8198" w14:textId="7AFD22B2" w:rsidR="00727261" w:rsidRDefault="00860F26">
    <w:pPr>
      <w:pStyle w:val="Header"/>
    </w:pPr>
    <w:r>
      <w:rPr>
        <w:noProof/>
      </w:rPr>
      <mc:AlternateContent>
        <mc:Choice Requires="wps">
          <w:drawing>
            <wp:anchor distT="0" distB="0" distL="0" distR="0" simplePos="0" relativeHeight="251660288" behindDoc="0" locked="0" layoutInCell="1" allowOverlap="1" wp14:anchorId="5C28ED8A" wp14:editId="42E1DE08">
              <wp:simplePos x="914400" y="447675"/>
              <wp:positionH relativeFrom="page">
                <wp:align>center</wp:align>
              </wp:positionH>
              <wp:positionV relativeFrom="page">
                <wp:align>top</wp:align>
              </wp:positionV>
              <wp:extent cx="1003935" cy="391160"/>
              <wp:effectExtent l="0" t="0" r="5715" b="8890"/>
              <wp:wrapNone/>
              <wp:docPr id="36078755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91160"/>
                      </a:xfrm>
                      <a:prstGeom prst="rect">
                        <a:avLst/>
                      </a:prstGeom>
                      <a:noFill/>
                      <a:ln>
                        <a:noFill/>
                      </a:ln>
                    </wps:spPr>
                    <wps:txbx>
                      <w:txbxContent>
                        <w:p w14:paraId="54D6534A" w14:textId="277440E4" w:rsidR="00860F26" w:rsidRPr="00860F26" w:rsidRDefault="00860F26" w:rsidP="00860F26">
                          <w:pPr>
                            <w:spacing w:after="0"/>
                            <w:rPr>
                              <w:rFonts w:ascii="Aptos" w:eastAsia="Aptos" w:hAnsi="Aptos" w:cs="Aptos"/>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28ED8A" id="_x0000_t202" coordsize="21600,21600" o:spt="202" path="m,l,21600r21600,l21600,xe">
              <v:stroke joinstyle="miter"/>
              <v:path gradientshapeok="t" o:connecttype="rect"/>
            </v:shapetype>
            <v:shape id="Text Box 3" o:spid="_x0000_s1027" type="#_x0000_t202" alt="UNCLASSIFIED" style="position:absolute;margin-left:0;margin-top:0;width:79.0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" filled="f" stroked="f">
              <v:textbox style="mso-fit-shape-to-text:t" inset="0,15pt,0,0">
                <w:txbxContent>
                  <w:p w14:paraId="54D6534A" w14:textId="277440E4" w:rsidR="00860F26" w:rsidRPr="00860F26" w:rsidRDefault="00860F26" w:rsidP="00860F26">
                    <w:pPr>
                      <w:spacing w:after="0"/>
                      <w:rPr>
                        <w:rFonts w:ascii="Aptos" w:eastAsia="Aptos" w:hAnsi="Aptos" w:cs="Aptos"/>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D6D6" w14:textId="0B2A616B" w:rsidR="00727261" w:rsidRDefault="00860F26">
    <w:pPr>
      <w:pStyle w:val="Header"/>
    </w:pPr>
    <w:r>
      <w:rPr>
        <w:noProof/>
      </w:rPr>
      <mc:AlternateContent>
        <mc:Choice Requires="wps">
          <w:drawing>
            <wp:anchor distT="0" distB="0" distL="0" distR="0" simplePos="0" relativeHeight="251658240" behindDoc="0" locked="0" layoutInCell="1" allowOverlap="1" wp14:anchorId="73E80E79" wp14:editId="72E01712">
              <wp:simplePos x="635" y="635"/>
              <wp:positionH relativeFrom="page">
                <wp:align>center</wp:align>
              </wp:positionH>
              <wp:positionV relativeFrom="page">
                <wp:align>top</wp:align>
              </wp:positionV>
              <wp:extent cx="1003935" cy="391160"/>
              <wp:effectExtent l="0" t="0" r="5715" b="8890"/>
              <wp:wrapNone/>
              <wp:docPr id="66919715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391160"/>
                      </a:xfrm>
                      <a:prstGeom prst="rect">
                        <a:avLst/>
                      </a:prstGeom>
                      <a:noFill/>
                      <a:ln>
                        <a:noFill/>
                      </a:ln>
                    </wps:spPr>
                    <wps:txbx>
                      <w:txbxContent>
                        <w:p w14:paraId="26EDFB85" w14:textId="12D6ED6B" w:rsidR="00860F26" w:rsidRPr="00860F26" w:rsidRDefault="00860F26" w:rsidP="00860F26">
                          <w:pPr>
                            <w:spacing w:after="0"/>
                            <w:rPr>
                              <w:rFonts w:ascii="Aptos" w:eastAsia="Aptos" w:hAnsi="Aptos" w:cs="Aptos"/>
                              <w:noProof/>
                              <w:color w:val="000000"/>
                              <w:sz w:val="24"/>
                              <w:szCs w:val="24"/>
                            </w:rPr>
                          </w:pPr>
                          <w:r w:rsidRPr="00860F26">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80E79" id="_x0000_t202" coordsize="21600,21600" o:spt="202" path="m,l,21600r21600,l21600,xe">
              <v:stroke joinstyle="miter"/>
              <v:path gradientshapeok="t" o:connecttype="rect"/>
            </v:shapetype>
            <v:shape id="Text Box 1" o:spid="_x0000_s1029" type="#_x0000_t202" alt="UNCLASSIFIED" style="position:absolute;margin-left:0;margin-top:0;width:79.0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" filled="f" stroked="f">
              <v:textbox style="mso-fit-shape-to-text:t" inset="0,15pt,0,0">
                <w:txbxContent>
                  <w:p w14:paraId="26EDFB85" w14:textId="12D6ED6B" w:rsidR="00860F26" w:rsidRPr="00860F26" w:rsidRDefault="00860F26" w:rsidP="00860F26">
                    <w:pPr>
                      <w:spacing w:after="0"/>
                      <w:rPr>
                        <w:rFonts w:ascii="Aptos" w:eastAsia="Aptos" w:hAnsi="Aptos" w:cs="Aptos"/>
                        <w:noProof/>
                        <w:color w:val="000000"/>
                        <w:sz w:val="24"/>
                        <w:szCs w:val="24"/>
                      </w:rPr>
                    </w:pPr>
                    <w:r w:rsidRPr="00860F26">
                      <w:rPr>
                        <w:rFonts w:ascii="Aptos" w:eastAsia="Aptos" w:hAnsi="Aptos" w:cs="Aptos"/>
                        <w:noProof/>
                        <w:color w:val="000000"/>
                        <w:sz w:val="24"/>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06D57"/>
    <w:multiLevelType w:val="hybridMultilevel"/>
    <w:tmpl w:val="D4C4F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2187717"/>
    <w:multiLevelType w:val="hybridMultilevel"/>
    <w:tmpl w:val="F7A2C598"/>
    <w:lvl w:ilvl="0" w:tplc="1409000F">
      <w:start w:val="1"/>
      <w:numFmt w:val="decimal"/>
      <w:lvlText w:val="%1."/>
      <w:lvlJc w:val="left"/>
      <w:pPr>
        <w:ind w:left="1211" w:hanging="360"/>
      </w:pPr>
    </w:lvl>
    <w:lvl w:ilvl="1" w:tplc="14090019" w:tentative="1">
      <w:start w:val="1"/>
      <w:numFmt w:val="lowerLetter"/>
      <w:lvlText w:val="%2."/>
      <w:lvlJc w:val="left"/>
      <w:pPr>
        <w:ind w:left="1931" w:hanging="360"/>
      </w:pPr>
      <w:rPr>
        <w:rFonts w:cs="Times New Roman"/>
      </w:rPr>
    </w:lvl>
    <w:lvl w:ilvl="2" w:tplc="1409001B" w:tentative="1">
      <w:start w:val="1"/>
      <w:numFmt w:val="lowerRoman"/>
      <w:lvlText w:val="%3."/>
      <w:lvlJc w:val="right"/>
      <w:pPr>
        <w:ind w:left="2651" w:hanging="180"/>
      </w:pPr>
      <w:rPr>
        <w:rFonts w:cs="Times New Roman"/>
      </w:rPr>
    </w:lvl>
    <w:lvl w:ilvl="3" w:tplc="1409000F" w:tentative="1">
      <w:start w:val="1"/>
      <w:numFmt w:val="decimal"/>
      <w:lvlText w:val="%4."/>
      <w:lvlJc w:val="left"/>
      <w:pPr>
        <w:ind w:left="3371" w:hanging="360"/>
      </w:pPr>
      <w:rPr>
        <w:rFonts w:cs="Times New Roman"/>
      </w:rPr>
    </w:lvl>
    <w:lvl w:ilvl="4" w:tplc="14090019" w:tentative="1">
      <w:start w:val="1"/>
      <w:numFmt w:val="lowerLetter"/>
      <w:lvlText w:val="%5."/>
      <w:lvlJc w:val="left"/>
      <w:pPr>
        <w:ind w:left="4091" w:hanging="360"/>
      </w:pPr>
      <w:rPr>
        <w:rFonts w:cs="Times New Roman"/>
      </w:rPr>
    </w:lvl>
    <w:lvl w:ilvl="5" w:tplc="1409001B" w:tentative="1">
      <w:start w:val="1"/>
      <w:numFmt w:val="lowerRoman"/>
      <w:lvlText w:val="%6."/>
      <w:lvlJc w:val="right"/>
      <w:pPr>
        <w:ind w:left="4811" w:hanging="180"/>
      </w:pPr>
      <w:rPr>
        <w:rFonts w:cs="Times New Roman"/>
      </w:rPr>
    </w:lvl>
    <w:lvl w:ilvl="6" w:tplc="1409000F" w:tentative="1">
      <w:start w:val="1"/>
      <w:numFmt w:val="decimal"/>
      <w:lvlText w:val="%7."/>
      <w:lvlJc w:val="left"/>
      <w:pPr>
        <w:ind w:left="5531" w:hanging="360"/>
      </w:pPr>
      <w:rPr>
        <w:rFonts w:cs="Times New Roman"/>
      </w:rPr>
    </w:lvl>
    <w:lvl w:ilvl="7" w:tplc="14090019" w:tentative="1">
      <w:start w:val="1"/>
      <w:numFmt w:val="lowerLetter"/>
      <w:lvlText w:val="%8."/>
      <w:lvlJc w:val="left"/>
      <w:pPr>
        <w:ind w:left="6251" w:hanging="360"/>
      </w:pPr>
      <w:rPr>
        <w:rFonts w:cs="Times New Roman"/>
      </w:rPr>
    </w:lvl>
    <w:lvl w:ilvl="8" w:tplc="1409001B" w:tentative="1">
      <w:start w:val="1"/>
      <w:numFmt w:val="lowerRoman"/>
      <w:lvlText w:val="%9."/>
      <w:lvlJc w:val="right"/>
      <w:pPr>
        <w:ind w:left="6971" w:hanging="180"/>
      </w:pPr>
      <w:rPr>
        <w:rFonts w:cs="Times New Roman"/>
      </w:rPr>
    </w:lvl>
  </w:abstractNum>
  <w:num w:numId="1" w16cid:durableId="150097483">
    <w:abstractNumId w:val="1"/>
  </w:num>
  <w:num w:numId="2" w16cid:durableId="177670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BD"/>
    <w:rsid w:val="00024924"/>
    <w:rsid w:val="0005407E"/>
    <w:rsid w:val="0006355F"/>
    <w:rsid w:val="00067C1F"/>
    <w:rsid w:val="000A7DB2"/>
    <w:rsid w:val="000E7A60"/>
    <w:rsid w:val="00103E62"/>
    <w:rsid w:val="001068A5"/>
    <w:rsid w:val="001223DC"/>
    <w:rsid w:val="001B067F"/>
    <w:rsid w:val="001B0E33"/>
    <w:rsid w:val="001D4CEE"/>
    <w:rsid w:val="001F13A0"/>
    <w:rsid w:val="002159ED"/>
    <w:rsid w:val="00225277"/>
    <w:rsid w:val="00231D14"/>
    <w:rsid w:val="00281364"/>
    <w:rsid w:val="00285E16"/>
    <w:rsid w:val="002B1058"/>
    <w:rsid w:val="002F47DF"/>
    <w:rsid w:val="002F4F01"/>
    <w:rsid w:val="0032219B"/>
    <w:rsid w:val="00330AF9"/>
    <w:rsid w:val="0039390C"/>
    <w:rsid w:val="003D6EDC"/>
    <w:rsid w:val="003E36CB"/>
    <w:rsid w:val="003E5DC9"/>
    <w:rsid w:val="003F0732"/>
    <w:rsid w:val="004037D7"/>
    <w:rsid w:val="00434A84"/>
    <w:rsid w:val="00456059"/>
    <w:rsid w:val="00486786"/>
    <w:rsid w:val="004A55A7"/>
    <w:rsid w:val="004C7831"/>
    <w:rsid w:val="004E1853"/>
    <w:rsid w:val="00503F91"/>
    <w:rsid w:val="00523A11"/>
    <w:rsid w:val="00557E60"/>
    <w:rsid w:val="005938A2"/>
    <w:rsid w:val="005B1044"/>
    <w:rsid w:val="005D2EFE"/>
    <w:rsid w:val="0060575F"/>
    <w:rsid w:val="00613024"/>
    <w:rsid w:val="00630BFF"/>
    <w:rsid w:val="00634112"/>
    <w:rsid w:val="00673A84"/>
    <w:rsid w:val="006D2C35"/>
    <w:rsid w:val="006D706D"/>
    <w:rsid w:val="006E2BBD"/>
    <w:rsid w:val="006E78BF"/>
    <w:rsid w:val="00727261"/>
    <w:rsid w:val="00742C5E"/>
    <w:rsid w:val="00763D2E"/>
    <w:rsid w:val="007825BA"/>
    <w:rsid w:val="00782FEB"/>
    <w:rsid w:val="00797F33"/>
    <w:rsid w:val="007B66E5"/>
    <w:rsid w:val="007D4BC5"/>
    <w:rsid w:val="00802652"/>
    <w:rsid w:val="0082578C"/>
    <w:rsid w:val="00845B8B"/>
    <w:rsid w:val="00860F26"/>
    <w:rsid w:val="00873270"/>
    <w:rsid w:val="00893010"/>
    <w:rsid w:val="008F5430"/>
    <w:rsid w:val="00905EE3"/>
    <w:rsid w:val="00930D52"/>
    <w:rsid w:val="00934C58"/>
    <w:rsid w:val="00944819"/>
    <w:rsid w:val="00957339"/>
    <w:rsid w:val="00961B04"/>
    <w:rsid w:val="009920CD"/>
    <w:rsid w:val="00995F45"/>
    <w:rsid w:val="009C45BA"/>
    <w:rsid w:val="009D1336"/>
    <w:rsid w:val="009E25DC"/>
    <w:rsid w:val="00A05B3F"/>
    <w:rsid w:val="00A07ACA"/>
    <w:rsid w:val="00A14694"/>
    <w:rsid w:val="00A2241E"/>
    <w:rsid w:val="00A93D2C"/>
    <w:rsid w:val="00AB3352"/>
    <w:rsid w:val="00AC4BD9"/>
    <w:rsid w:val="00AE34CE"/>
    <w:rsid w:val="00AF6BEB"/>
    <w:rsid w:val="00AF7297"/>
    <w:rsid w:val="00B87AA5"/>
    <w:rsid w:val="00BB1DBA"/>
    <w:rsid w:val="00BD4733"/>
    <w:rsid w:val="00BE0AFE"/>
    <w:rsid w:val="00C00531"/>
    <w:rsid w:val="00C01F9E"/>
    <w:rsid w:val="00C15E2C"/>
    <w:rsid w:val="00C23D13"/>
    <w:rsid w:val="00C3606A"/>
    <w:rsid w:val="00C7663E"/>
    <w:rsid w:val="00C92987"/>
    <w:rsid w:val="00CA636B"/>
    <w:rsid w:val="00CF3F29"/>
    <w:rsid w:val="00D10452"/>
    <w:rsid w:val="00D135FC"/>
    <w:rsid w:val="00D422E4"/>
    <w:rsid w:val="00DB0044"/>
    <w:rsid w:val="00DB6390"/>
    <w:rsid w:val="00E04D21"/>
    <w:rsid w:val="00E15C74"/>
    <w:rsid w:val="00E46091"/>
    <w:rsid w:val="00E60C7C"/>
    <w:rsid w:val="00EA07E5"/>
    <w:rsid w:val="00EC521D"/>
    <w:rsid w:val="00EE41BD"/>
    <w:rsid w:val="00F3125C"/>
    <w:rsid w:val="00F53358"/>
    <w:rsid w:val="00F56CD0"/>
    <w:rsid w:val="00F60752"/>
    <w:rsid w:val="00F645B2"/>
    <w:rsid w:val="00F6509F"/>
    <w:rsid w:val="00F66CED"/>
    <w:rsid w:val="00F7364A"/>
    <w:rsid w:val="00F7370D"/>
    <w:rsid w:val="00F84911"/>
    <w:rsid w:val="00F931A5"/>
    <w:rsid w:val="00F96276"/>
    <w:rsid w:val="00FC2C6F"/>
    <w:rsid w:val="00FC743E"/>
    <w:rsid w:val="00FE0971"/>
    <w:rsid w:val="00FE36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B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E2BB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uiPriority w:val="99"/>
    <w:rsid w:val="006E2BBD"/>
    <w:pPr>
      <w:widowControl w:val="0"/>
      <w:autoSpaceDE w:val="0"/>
      <w:autoSpaceDN w:val="0"/>
      <w:adjustRightInd w:val="0"/>
      <w:spacing w:after="0" w:line="240" w:lineRule="auto"/>
    </w:pPr>
    <w:rPr>
      <w:rFonts w:ascii="Arial" w:eastAsiaTheme="minorEastAsia" w:hAnsi="Arial" w:cs="Arial"/>
      <w:sz w:val="24"/>
      <w:szCs w:val="24"/>
      <w:lang w:eastAsia="en-NZ"/>
    </w:rPr>
  </w:style>
  <w:style w:type="paragraph" w:styleId="Header">
    <w:name w:val="header"/>
    <w:basedOn w:val="Normal"/>
    <w:link w:val="HeaderChar"/>
    <w:uiPriority w:val="99"/>
    <w:unhideWhenUsed/>
    <w:rsid w:val="000A7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DB2"/>
  </w:style>
  <w:style w:type="paragraph" w:styleId="Footer">
    <w:name w:val="footer"/>
    <w:basedOn w:val="Normal"/>
    <w:link w:val="FooterChar"/>
    <w:uiPriority w:val="99"/>
    <w:unhideWhenUsed/>
    <w:rsid w:val="000A7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DB2"/>
  </w:style>
  <w:style w:type="paragraph" w:styleId="ListParagraph">
    <w:name w:val="List Paragraph"/>
    <w:basedOn w:val="Normal"/>
    <w:uiPriority w:val="34"/>
    <w:qFormat/>
    <w:rsid w:val="00802652"/>
    <w:pPr>
      <w:ind w:left="720"/>
      <w:contextualSpacing/>
    </w:pPr>
  </w:style>
  <w:style w:type="paragraph" w:styleId="BalloonText">
    <w:name w:val="Balloon Text"/>
    <w:basedOn w:val="Normal"/>
    <w:link w:val="BalloonTextChar"/>
    <w:uiPriority w:val="99"/>
    <w:semiHidden/>
    <w:unhideWhenUsed/>
    <w:rsid w:val="00D13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5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DC4691BF00A443899034738234036697" version="1.0.0">
  <systemFields>
    <field name="Objective-Id">
      <value order="0">A1518608</value>
    </field>
    <field name="Objective-Title">
      <value order="0">Process for scoring the TEC financial ratios</value>
    </field>
    <field name="Objective-Description">
      <value order="0"/>
    </field>
    <field name="Objective-CreationStamp">
      <value order="0">2020-01-21T05:03:43Z</value>
    </field>
    <field name="Objective-IsApproved">
      <value order="0">false</value>
    </field>
    <field name="Objective-IsPublished">
      <value order="0">true</value>
    </field>
    <field name="Objective-DatePublished">
      <value order="0">2026-06-24T02:37:49Z</value>
    </field>
    <field name="Objective-ModificationStamp">
      <value order="0">2026-06-24T02:38:39Z</value>
    </field>
    <field name="Objective-Owner">
      <value order="0">Bruce Lynch</value>
    </field>
    <field name="Objective-Path">
      <value order="0">Objective Global Folder:TEC Global Folder (fA27):Tertiary Education Organisations:Sector:TO-B- FINANCIAL MONITORING:2025:PTE - Individual PTEs</value>
    </field>
    <field name="Objective-Parent">
      <value order="0">PTE - Individual PTEs</value>
    </field>
    <field name="Objective-State">
      <value order="0">Published</value>
    </field>
    <field name="Objective-VersionId">
      <value order="0">vA4754426</value>
    </field>
    <field name="Objective-Version">
      <value order="0">16.0</value>
    </field>
    <field name="Objective-VersionNumber">
      <value order="0">17</value>
    </field>
    <field name="Objective-VersionComment">
      <value order="0"/>
    </field>
    <field name="Objective-FileNumber">
      <value order="0">TO-B-16/06-6266</value>
    </field>
    <field name="Objective-Classification">
      <value order="0"/>
    </field>
    <field name="Objective-Caveats">
      <value order="0"/>
    </field>
  </systemFields>
  <catalogues>
    <catalogue name="Document Type Catalogue" type="type" ori="id:cA6">
      <field name="Objective-Reference">
        <value order="0"/>
      </field>
      <field name="Objective-Date">
        <value order="0"/>
      </field>
      <field name="Objective-Action">
        <value order="0"/>
      </field>
      <field name="Objective-Responsible">
        <value order="0"/>
      </field>
      <field name="Objective-Financial Year">
        <value order="0"/>
      </field>
      <field name="Objective-Calendar Year">
        <value order="0"/>
      </field>
      <field name="Objective-EDUMIS Number">
        <value order="0"/>
      </field>
      <field name="Objective-Sub Sector">
        <value order="0"/>
      </field>
      <field name="Objective-Fund Name">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DC4691BF00A443899034738234036697"/>
  </ds:schemaRefs>
</ds:datastoreItem>
</file>

<file path=docMetadata/LabelInfo.xml><?xml version="1.0" encoding="utf-8"?>
<clbl:labelList xmlns:clbl="http://schemas.microsoft.com/office/2020/mipLabelMetadata">
  <clbl:label id="{df842e77-a06d-4e27-a278-e9985af635b7}" enabled="1" method="Standard" siteId="{e8e4d407-812f-46ec-8e96-0358754f4085}"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2899</Words>
  <Characters>14959</Characters>
  <Application>Microsoft Office Word</Application>
  <DocSecurity>0</DocSecurity>
  <Lines>801</Lines>
  <Paragraphs>219</Paragraphs>
  <ScaleCrop>false</ScaleCrop>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2026-06-24T23:21:00Z</dcterms:created>
  <dcterms:modified xsi:type="dcterms:W3CDTF">2026-06-24T23:21:00Z</dcterms:modified>
</cp:coreProperties>
</file>