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29ED" w14:textId="51347E69" w:rsidR="00F241C3" w:rsidRPr="00272F68" w:rsidRDefault="005641C4" w:rsidP="00864EB1">
      <w:pPr>
        <w:pStyle w:val="TOCHeading"/>
        <w:rPr>
          <w:rFonts w:asciiTheme="majorHAnsi" w:hAnsiTheme="majorHAnsi"/>
        </w:rPr>
      </w:pPr>
      <w:r w:rsidRPr="00272F68">
        <w:rPr>
          <w:rFonts w:asciiTheme="majorHAnsi" w:hAnsiTheme="majorHAnsi"/>
        </w:rPr>
        <w:t xml:space="preserve">Work-based </w:t>
      </w:r>
      <w:r w:rsidR="002817DF" w:rsidRPr="00272F68">
        <w:rPr>
          <w:rFonts w:asciiTheme="majorHAnsi" w:hAnsiTheme="majorHAnsi"/>
        </w:rPr>
        <w:t>F</w:t>
      </w:r>
      <w:r w:rsidR="3BFFF456" w:rsidRPr="00272F68">
        <w:rPr>
          <w:rFonts w:asciiTheme="majorHAnsi" w:hAnsiTheme="majorHAnsi"/>
        </w:rPr>
        <w:t>r</w:t>
      </w:r>
      <w:r w:rsidR="009E2DDB">
        <w:rPr>
          <w:rFonts w:asciiTheme="majorHAnsi" w:hAnsiTheme="majorHAnsi"/>
        </w:rPr>
        <w:t>e</w:t>
      </w:r>
      <w:r w:rsidR="3BFFF456" w:rsidRPr="00272F68">
        <w:rPr>
          <w:rFonts w:asciiTheme="majorHAnsi" w:hAnsiTheme="majorHAnsi"/>
        </w:rPr>
        <w:t>quently Asked Questions</w:t>
      </w:r>
    </w:p>
    <w:p w14:paraId="37EE432E" w14:textId="1B974944" w:rsidR="005641C4" w:rsidRPr="005641C4" w:rsidRDefault="00C36397" w:rsidP="167FD0CB">
      <w:pPr>
        <w:pStyle w:val="ListParagraph"/>
        <w:numPr>
          <w:ilvl w:val="0"/>
          <w:numId w:val="1"/>
        </w:numPr>
        <w:rPr>
          <w:b/>
          <w:bCs/>
          <w:color w:val="007FAB"/>
        </w:rPr>
      </w:pPr>
      <w:r w:rsidRPr="167FD0CB">
        <w:rPr>
          <w:b/>
          <w:bCs/>
          <w:color w:val="007FAB"/>
        </w:rPr>
        <w:t>Do I need to</w:t>
      </w:r>
      <w:r w:rsidR="005641C4" w:rsidRPr="167FD0CB">
        <w:rPr>
          <w:b/>
          <w:bCs/>
          <w:color w:val="007FAB"/>
        </w:rPr>
        <w:t xml:space="preserve"> back-fill</w:t>
      </w:r>
      <w:r w:rsidRPr="167FD0CB">
        <w:rPr>
          <w:b/>
          <w:bCs/>
          <w:color w:val="007FAB"/>
        </w:rPr>
        <w:t xml:space="preserve"> </w:t>
      </w:r>
      <w:r w:rsidR="005641C4" w:rsidRPr="167FD0CB">
        <w:rPr>
          <w:b/>
          <w:bCs/>
          <w:color w:val="007FAB"/>
        </w:rPr>
        <w:t xml:space="preserve">new data fields for </w:t>
      </w:r>
      <w:r w:rsidRPr="167FD0CB">
        <w:rPr>
          <w:b/>
          <w:bCs/>
          <w:color w:val="007FAB"/>
        </w:rPr>
        <w:t xml:space="preserve">existing </w:t>
      </w:r>
      <w:r w:rsidR="005641C4" w:rsidRPr="167FD0CB">
        <w:rPr>
          <w:b/>
          <w:bCs/>
          <w:color w:val="007FAB"/>
        </w:rPr>
        <w:t>learners? And how will the new validations work, especially in relation to new data fields?</w:t>
      </w:r>
    </w:p>
    <w:p w14:paraId="2BA2366E" w14:textId="5F3AF2C7" w:rsidR="00C84C3F" w:rsidRDefault="00695C32" w:rsidP="00C84C3F">
      <w:pPr>
        <w:ind w:left="360"/>
      </w:pPr>
      <w:r>
        <w:t>A</w:t>
      </w:r>
      <w:r w:rsidR="00136E23">
        <w:t>ll</w:t>
      </w:r>
      <w:r>
        <w:t xml:space="preserve"> new data requirements are compulsory from </w:t>
      </w:r>
      <w:r w:rsidR="005641C4">
        <w:t>when the system goes live</w:t>
      </w:r>
      <w:r w:rsidR="00C36397">
        <w:t xml:space="preserve"> on 1 July</w:t>
      </w:r>
      <w:r w:rsidR="00C84C3F">
        <w:t>. You need to backfill:</w:t>
      </w:r>
    </w:p>
    <w:p w14:paraId="20FC508E" w14:textId="4725918A" w:rsidR="00502F50" w:rsidRPr="006359A9" w:rsidRDefault="001030EE" w:rsidP="006359A9">
      <w:pPr>
        <w:pStyle w:val="ListParagraph"/>
        <w:numPr>
          <w:ilvl w:val="0"/>
          <w:numId w:val="3"/>
        </w:numPr>
      </w:pPr>
      <w:r w:rsidRPr="006359A9">
        <w:t xml:space="preserve">All new data fields </w:t>
      </w:r>
      <w:r w:rsidR="00136E23" w:rsidRPr="006359A9">
        <w:t>f</w:t>
      </w:r>
      <w:r w:rsidR="005641C4" w:rsidRPr="006359A9">
        <w:t xml:space="preserve">or learners who commenced training prior to </w:t>
      </w:r>
      <w:r w:rsidR="00695C32" w:rsidRPr="006359A9">
        <w:t>go live</w:t>
      </w:r>
      <w:r w:rsidR="005641C4" w:rsidRPr="006359A9">
        <w:t xml:space="preserve"> if/when a </w:t>
      </w:r>
      <w:r w:rsidR="005641C4" w:rsidRPr="006359A9">
        <w:rPr>
          <w:b/>
          <w:bCs/>
        </w:rPr>
        <w:t>new</w:t>
      </w:r>
      <w:r w:rsidR="005641C4" w:rsidRPr="006359A9">
        <w:t xml:space="preserve"> Training Agreement is signed</w:t>
      </w:r>
      <w:r w:rsidR="00695C32" w:rsidRPr="006359A9">
        <w:t xml:space="preserve"> / processed</w:t>
      </w:r>
      <w:r w:rsidR="005641C4" w:rsidRPr="006359A9">
        <w:t>.</w:t>
      </w:r>
      <w:r w:rsidR="00C84C3F" w:rsidRPr="006359A9">
        <w:t xml:space="preserve"> </w:t>
      </w:r>
    </w:p>
    <w:p w14:paraId="1278DE43" w14:textId="074D22EB" w:rsidR="005641C4" w:rsidRPr="006359A9" w:rsidRDefault="005641C4" w:rsidP="006359A9">
      <w:pPr>
        <w:pStyle w:val="ListParagraph"/>
        <w:numPr>
          <w:ilvl w:val="1"/>
          <w:numId w:val="3"/>
        </w:numPr>
      </w:pPr>
      <w:r w:rsidRPr="006359A9">
        <w:t>E.g. the new Disability Support</w:t>
      </w:r>
      <w:r w:rsidR="00502F50" w:rsidRPr="006359A9">
        <w:t xml:space="preserve"> </w:t>
      </w:r>
      <w:r w:rsidRPr="006359A9">
        <w:t xml:space="preserve">Needs fields are </w:t>
      </w:r>
      <w:r w:rsidRPr="006359A9">
        <w:rPr>
          <w:b/>
          <w:bCs/>
        </w:rPr>
        <w:t>not</w:t>
      </w:r>
      <w:r w:rsidRPr="006359A9">
        <w:t xml:space="preserve"> required for </w:t>
      </w:r>
      <w:r w:rsidR="007C443A" w:rsidRPr="006359A9">
        <w:t xml:space="preserve">existing </w:t>
      </w:r>
      <w:r w:rsidRPr="006359A9">
        <w:t>Training Agreements.</w:t>
      </w:r>
    </w:p>
    <w:p w14:paraId="7D40795F" w14:textId="35B6C4B4" w:rsidR="00502F50" w:rsidRPr="006359A9" w:rsidRDefault="001030EE" w:rsidP="006359A9">
      <w:pPr>
        <w:pStyle w:val="ListParagraph"/>
        <w:numPr>
          <w:ilvl w:val="0"/>
          <w:numId w:val="3"/>
        </w:numPr>
      </w:pPr>
      <w:r w:rsidRPr="006359A9">
        <w:t xml:space="preserve">All new Fees Free data fields </w:t>
      </w:r>
      <w:r w:rsidR="00C84C3F" w:rsidRPr="006359A9">
        <w:t>for</w:t>
      </w:r>
      <w:r w:rsidRPr="006359A9">
        <w:t xml:space="preserve"> learners who commenced training prior to go live. This </w:t>
      </w:r>
      <w:r w:rsidR="00C84C3F" w:rsidRPr="006359A9">
        <w:t>ensure</w:t>
      </w:r>
      <w:r w:rsidRPr="006359A9">
        <w:t>s</w:t>
      </w:r>
      <w:r w:rsidR="00C84C3F" w:rsidRPr="006359A9">
        <w:t xml:space="preserve"> any learners that have qualified for their Fees Free entitlement are able to process their claim. </w:t>
      </w:r>
    </w:p>
    <w:p w14:paraId="4016FB05" w14:textId="0FFE412D" w:rsidR="00770D6D" w:rsidRPr="006359A9" w:rsidRDefault="00770D6D" w:rsidP="006359A9">
      <w:pPr>
        <w:pStyle w:val="ListParagraph"/>
        <w:numPr>
          <w:ilvl w:val="0"/>
          <w:numId w:val="3"/>
        </w:numPr>
      </w:pPr>
      <w:r w:rsidRPr="006359A9">
        <w:t xml:space="preserve">All off-job delivery that has occurred since 1 January 2025. Please refer to the Off-job Delivery Data document which includes additional questions and answers </w:t>
      </w:r>
      <w:r w:rsidR="00E31DAE" w:rsidRPr="006359A9">
        <w:t xml:space="preserve">relating to </w:t>
      </w:r>
      <w:r w:rsidRPr="006359A9">
        <w:t xml:space="preserve">off-job delivery. </w:t>
      </w:r>
    </w:p>
    <w:p w14:paraId="1AE6FAA4" w14:textId="6671B5FD" w:rsidR="001030EE" w:rsidRDefault="00C84C3F" w:rsidP="006359A9">
      <w:pPr>
        <w:ind w:left="360"/>
      </w:pPr>
      <w:r>
        <w:t>V</w:t>
      </w:r>
      <w:r w:rsidR="005641C4">
        <w:t xml:space="preserve">alidation </w:t>
      </w:r>
      <w:r>
        <w:t>will not</w:t>
      </w:r>
      <w:r w:rsidR="005641C4">
        <w:t xml:space="preserve"> fail due to the missing data</w:t>
      </w:r>
      <w:r>
        <w:t xml:space="preserve"> for existing learners</w:t>
      </w:r>
      <w:r w:rsidR="005641C4">
        <w:t xml:space="preserve">. </w:t>
      </w:r>
    </w:p>
    <w:p w14:paraId="12851647" w14:textId="5C4D41ED" w:rsidR="005641C4" w:rsidRDefault="005641C4" w:rsidP="006359A9">
      <w:pPr>
        <w:ind w:firstLine="360"/>
      </w:pPr>
      <w:r>
        <w:t>For new records post 1 July</w:t>
      </w:r>
      <w:r w:rsidR="00B20B85">
        <w:t>,</w:t>
      </w:r>
      <w:r>
        <w:t xml:space="preserve"> the validation rules will check that the data is provided.</w:t>
      </w:r>
    </w:p>
    <w:p w14:paraId="1A653ABB" w14:textId="1E895A12" w:rsidR="00A97ECA" w:rsidRPr="008F31F3" w:rsidRDefault="007D2F1E" w:rsidP="007F504E">
      <w:pPr>
        <w:pStyle w:val="ListParagraph"/>
        <w:numPr>
          <w:ilvl w:val="0"/>
          <w:numId w:val="3"/>
        </w:numPr>
      </w:pPr>
      <w:r w:rsidRPr="005D7846">
        <w:t xml:space="preserve">Please refer to the </w:t>
      </w:r>
      <w:r w:rsidR="004F2BAA" w:rsidRPr="008F31F3">
        <w:t xml:space="preserve">example for the </w:t>
      </w:r>
      <w:r w:rsidR="006372CA" w:rsidRPr="008F31F3">
        <w:t xml:space="preserve">Learner: </w:t>
      </w:r>
      <w:r w:rsidR="006372CA" w:rsidRPr="008F31F3">
        <w:rPr>
          <w:i/>
          <w:iCs/>
          <w:lang w:eastAsia="en-GB"/>
        </w:rPr>
        <w:t>First year of tertiary education</w:t>
      </w:r>
      <w:r w:rsidR="004F2BAA" w:rsidRPr="008F31F3">
        <w:t xml:space="preserve"> data field</w:t>
      </w:r>
      <w:r w:rsidR="00B936E0" w:rsidRPr="005D7846">
        <w:t xml:space="preserve"> in at appendix </w:t>
      </w:r>
      <w:r w:rsidR="007B6FFA">
        <w:t>A</w:t>
      </w:r>
      <w:r w:rsidR="00B936E0" w:rsidRPr="005D7846">
        <w:t>.</w:t>
      </w:r>
    </w:p>
    <w:p w14:paraId="08C416E4" w14:textId="6BF5BE30" w:rsidR="007D2F1E" w:rsidRPr="005D7846" w:rsidRDefault="007D2F1E" w:rsidP="007D2F1E">
      <w:pPr>
        <w:pStyle w:val="ListParagraph"/>
        <w:numPr>
          <w:ilvl w:val="0"/>
          <w:numId w:val="3"/>
        </w:numPr>
      </w:pPr>
      <w:r w:rsidRPr="006359A9">
        <w:t>We will provide further information on back-filling and the validation rules</w:t>
      </w:r>
      <w:r w:rsidR="005D7846" w:rsidRPr="005D7846">
        <w:t>.</w:t>
      </w:r>
    </w:p>
    <w:p w14:paraId="3A5FF106" w14:textId="77777777" w:rsidR="007F504E" w:rsidRDefault="007F504E" w:rsidP="007F504E">
      <w:pPr>
        <w:pStyle w:val="ListParagraph"/>
      </w:pPr>
    </w:p>
    <w:p w14:paraId="1CE6CC5D" w14:textId="14CE54E2" w:rsidR="005641C4" w:rsidRPr="005641C4" w:rsidRDefault="001030EE" w:rsidP="167FD0CB">
      <w:pPr>
        <w:pStyle w:val="ListParagraph"/>
        <w:numPr>
          <w:ilvl w:val="0"/>
          <w:numId w:val="1"/>
        </w:numPr>
        <w:rPr>
          <w:b/>
          <w:bCs/>
          <w:color w:val="007FAB"/>
        </w:rPr>
      </w:pPr>
      <w:r w:rsidRPr="167FD0CB">
        <w:rPr>
          <w:b/>
          <w:bCs/>
          <w:color w:val="007FAB"/>
        </w:rPr>
        <w:t>Is there an</w:t>
      </w:r>
      <w:r w:rsidR="005641C4" w:rsidRPr="167FD0CB">
        <w:rPr>
          <w:b/>
          <w:bCs/>
          <w:color w:val="007FAB"/>
        </w:rPr>
        <w:t>y additional advice on the new Disability Support Needs field?</w:t>
      </w:r>
    </w:p>
    <w:p w14:paraId="425980FA" w14:textId="28C948AF" w:rsidR="005641C4" w:rsidRDefault="005641C4" w:rsidP="006359A9">
      <w:pPr>
        <w:ind w:left="360"/>
      </w:pPr>
      <w:r>
        <w:t xml:space="preserve">Please refer to the letter uploaded into DXP </w:t>
      </w:r>
      <w:proofErr w:type="spellStart"/>
      <w:r>
        <w:t>Ngā</w:t>
      </w:r>
      <w:proofErr w:type="spellEnd"/>
      <w:r>
        <w:t xml:space="preserve"> Kete on 4 April 2025. Subject: </w:t>
      </w:r>
      <w:r w:rsidRPr="005641C4">
        <w:rPr>
          <w:i/>
          <w:iCs/>
        </w:rPr>
        <w:t>Reporting requirements changes to disability enrolment questions</w:t>
      </w:r>
      <w:r>
        <w:t>.</w:t>
      </w:r>
    </w:p>
    <w:p w14:paraId="7517595A" w14:textId="16D547DA" w:rsidR="000C19EB" w:rsidRPr="006F7DD3" w:rsidRDefault="000C19EB" w:rsidP="006359A9">
      <w:pPr>
        <w:ind w:left="360"/>
      </w:pPr>
      <w:r>
        <w:t xml:space="preserve">As </w:t>
      </w:r>
      <w:r w:rsidR="00214ED3">
        <w:t>noted</w:t>
      </w:r>
      <w:r>
        <w:t xml:space="preserve"> in</w:t>
      </w:r>
      <w:r w:rsidR="00214ED3">
        <w:t xml:space="preserve"> the letter, t</w:t>
      </w:r>
      <w:r w:rsidRPr="006F7DD3">
        <w:t>he two "main" disability questions - Disability Status and Disability Support Needs are upfront / on enrolment (or re-enrolment / new Training Agreement) questions. The</w:t>
      </w:r>
      <w:r w:rsidR="00214ED3">
        <w:t xml:space="preserve"> data </w:t>
      </w:r>
      <w:r w:rsidR="001030EE">
        <w:t>should</w:t>
      </w:r>
      <w:r w:rsidRPr="006F7DD3">
        <w:t xml:space="preserve"> </w:t>
      </w:r>
      <w:r w:rsidR="001030EE">
        <w:t>only</w:t>
      </w:r>
      <w:r w:rsidRPr="006F7DD3">
        <w:t xml:space="preserve"> be updated if the learner amends their previous response to the questions.  </w:t>
      </w:r>
    </w:p>
    <w:p w14:paraId="4ADF56F2" w14:textId="2ADA81E5" w:rsidR="000C19EB" w:rsidRDefault="00434ECE" w:rsidP="006359A9">
      <w:pPr>
        <w:ind w:left="360"/>
      </w:pPr>
      <w:r>
        <w:t xml:space="preserve">The data should not </w:t>
      </w:r>
      <w:r w:rsidR="000C19EB" w:rsidRPr="006F7DD3">
        <w:t xml:space="preserve">necessarily </w:t>
      </w:r>
      <w:r>
        <w:t xml:space="preserve">be updated </w:t>
      </w:r>
      <w:r w:rsidR="000C19EB" w:rsidRPr="006F7DD3">
        <w:t>if the</w:t>
      </w:r>
      <w:r>
        <w:t xml:space="preserve"> learner</w:t>
      </w:r>
      <w:r w:rsidR="000C19EB" w:rsidRPr="006F7DD3">
        <w:t xml:space="preserve"> access</w:t>
      </w:r>
      <w:r>
        <w:t>es</w:t>
      </w:r>
      <w:r w:rsidR="000C19EB" w:rsidRPr="006F7DD3">
        <w:t xml:space="preserve"> disability services </w:t>
      </w:r>
      <w:r>
        <w:t>– Disability</w:t>
      </w:r>
      <w:r w:rsidR="000C19EB" w:rsidRPr="006F7DD3">
        <w:t xml:space="preserve"> Status and Support Needs are self-declared by the learner and should not be "inferred".</w:t>
      </w:r>
    </w:p>
    <w:p w14:paraId="43E196FE" w14:textId="69A459F7" w:rsidR="005641C4" w:rsidRDefault="00434ECE" w:rsidP="167FD0CB">
      <w:pPr>
        <w:pStyle w:val="ListParagraph"/>
        <w:numPr>
          <w:ilvl w:val="0"/>
          <w:numId w:val="1"/>
        </w:numPr>
        <w:rPr>
          <w:b/>
          <w:bCs/>
          <w:color w:val="007FAB"/>
        </w:rPr>
      </w:pPr>
      <w:r w:rsidRPr="167FD0CB">
        <w:rPr>
          <w:b/>
          <w:bCs/>
          <w:color w:val="007FAB"/>
        </w:rPr>
        <w:t xml:space="preserve">When should I submit Yes in </w:t>
      </w:r>
      <w:r w:rsidR="005641C4" w:rsidRPr="167FD0CB">
        <w:rPr>
          <w:b/>
          <w:bCs/>
          <w:color w:val="007FAB"/>
        </w:rPr>
        <w:t>the new Disability Services Accessed field</w:t>
      </w:r>
      <w:r w:rsidRPr="167FD0CB">
        <w:rPr>
          <w:b/>
          <w:bCs/>
          <w:color w:val="007FAB"/>
        </w:rPr>
        <w:t>?</w:t>
      </w:r>
    </w:p>
    <w:p w14:paraId="650CE904" w14:textId="611C5110" w:rsidR="006F7DD3" w:rsidRPr="006F7DD3" w:rsidRDefault="006F7DD3" w:rsidP="006359A9">
      <w:pPr>
        <w:ind w:left="360"/>
      </w:pPr>
      <w:r w:rsidRPr="006F7DD3">
        <w:lastRenderedPageBreak/>
        <w:t>Disability services could be services offered by you</w:t>
      </w:r>
      <w:r w:rsidR="00434ECE">
        <w:t>r TEO</w:t>
      </w:r>
      <w:r w:rsidRPr="006F7DD3">
        <w:t xml:space="preserve"> or facilitated by you</w:t>
      </w:r>
      <w:r w:rsidR="00434ECE">
        <w:t>r TEO</w:t>
      </w:r>
      <w:r w:rsidRPr="006F7DD3">
        <w:t xml:space="preserve"> but delivered by a third party (e.g. arrangements similar to “employee assistance programmes”). </w:t>
      </w:r>
    </w:p>
    <w:p w14:paraId="261D70EF" w14:textId="4D2E6502" w:rsidR="006F7DD3" w:rsidRPr="006F7DD3" w:rsidRDefault="00434ECE" w:rsidP="006359A9">
      <w:pPr>
        <w:ind w:firstLine="360"/>
      </w:pPr>
      <w:r>
        <w:t xml:space="preserve">Report </w:t>
      </w:r>
      <w:r w:rsidR="006F7DD3" w:rsidRPr="006F7DD3">
        <w:t xml:space="preserve">"yes" </w:t>
      </w:r>
      <w:r>
        <w:t>if</w:t>
      </w:r>
      <w:r w:rsidR="006F7DD3" w:rsidRPr="006F7DD3">
        <w:t>:</w:t>
      </w:r>
    </w:p>
    <w:p w14:paraId="5282502C" w14:textId="7C78168E" w:rsidR="006F7DD3" w:rsidRPr="006F7DD3" w:rsidRDefault="00434ECE" w:rsidP="000F5140">
      <w:pPr>
        <w:pStyle w:val="ListParagraph"/>
        <w:numPr>
          <w:ilvl w:val="0"/>
          <w:numId w:val="3"/>
        </w:numPr>
      </w:pPr>
      <w:r>
        <w:t xml:space="preserve">Your </w:t>
      </w:r>
      <w:r w:rsidR="006F7DD3" w:rsidRPr="006F7DD3">
        <w:t>TEO provides services directly</w:t>
      </w:r>
    </w:p>
    <w:p w14:paraId="6C4A8F88" w14:textId="16D6F458" w:rsidR="006F7DD3" w:rsidRPr="006F7DD3" w:rsidRDefault="00434ECE" w:rsidP="000F5140">
      <w:pPr>
        <w:pStyle w:val="ListParagraph"/>
        <w:numPr>
          <w:ilvl w:val="0"/>
          <w:numId w:val="3"/>
        </w:numPr>
      </w:pPr>
      <w:r>
        <w:t xml:space="preserve">Your </w:t>
      </w:r>
      <w:r w:rsidR="006F7DD3" w:rsidRPr="006F7DD3">
        <w:t>TEO facilitates services for the learner (e.g. like our EAP services, Vitae)</w:t>
      </w:r>
    </w:p>
    <w:p w14:paraId="037155A9" w14:textId="07E5CAFB" w:rsidR="006F7DD3" w:rsidRPr="006F7DD3" w:rsidRDefault="006F7DD3" w:rsidP="000F5140">
      <w:pPr>
        <w:pStyle w:val="ListParagraph"/>
        <w:numPr>
          <w:ilvl w:val="0"/>
          <w:numId w:val="3"/>
        </w:numPr>
      </w:pPr>
      <w:r w:rsidRPr="006F7DD3">
        <w:t>The learner advises that they have accessed services.</w:t>
      </w:r>
    </w:p>
    <w:p w14:paraId="7B487747" w14:textId="49E519F6" w:rsidR="006F7DD3" w:rsidRPr="006F7DD3" w:rsidRDefault="006F7DD3" w:rsidP="006359A9">
      <w:pPr>
        <w:ind w:left="360"/>
      </w:pPr>
      <w:r w:rsidRPr="006F7DD3">
        <w:t>This field is there to pick-up activity that occurs after enrolment</w:t>
      </w:r>
      <w:r w:rsidR="00434ECE">
        <w:t xml:space="preserve"> and should </w:t>
      </w:r>
      <w:r w:rsidRPr="006F7DD3">
        <w:t xml:space="preserve">be updated as required.  </w:t>
      </w:r>
    </w:p>
    <w:p w14:paraId="5D67D6EA" w14:textId="32137E9C" w:rsidR="005641C4" w:rsidRDefault="005641C4" w:rsidP="167FD0CB">
      <w:pPr>
        <w:pStyle w:val="ListParagraph"/>
        <w:numPr>
          <w:ilvl w:val="0"/>
          <w:numId w:val="1"/>
        </w:numPr>
        <w:rPr>
          <w:b/>
          <w:bCs/>
          <w:color w:val="007FAB"/>
        </w:rPr>
      </w:pPr>
      <w:r w:rsidRPr="167FD0CB">
        <w:rPr>
          <w:b/>
          <w:bCs/>
          <w:color w:val="007FAB"/>
        </w:rPr>
        <w:t>W</w:t>
      </w:r>
      <w:r w:rsidR="00434ECE" w:rsidRPr="167FD0CB">
        <w:rPr>
          <w:b/>
          <w:bCs/>
          <w:color w:val="007FAB"/>
        </w:rPr>
        <w:t>ill</w:t>
      </w:r>
      <w:r w:rsidRPr="167FD0CB">
        <w:rPr>
          <w:b/>
          <w:bCs/>
          <w:color w:val="007FAB"/>
        </w:rPr>
        <w:t xml:space="preserve"> the </w:t>
      </w:r>
      <w:r w:rsidR="00434ECE" w:rsidRPr="167FD0CB">
        <w:rPr>
          <w:b/>
          <w:bCs/>
          <w:color w:val="007FAB"/>
        </w:rPr>
        <w:t xml:space="preserve">existing </w:t>
      </w:r>
      <w:r w:rsidRPr="167FD0CB">
        <w:rPr>
          <w:b/>
          <w:bCs/>
          <w:color w:val="007FAB"/>
        </w:rPr>
        <w:t xml:space="preserve">Detailed Data Transparency sheets </w:t>
      </w:r>
      <w:r w:rsidR="00787085" w:rsidRPr="167FD0CB">
        <w:rPr>
          <w:b/>
          <w:bCs/>
          <w:color w:val="007FAB"/>
        </w:rPr>
        <w:t xml:space="preserve">continue to be </w:t>
      </w:r>
      <w:r w:rsidR="00434ECE" w:rsidRPr="167FD0CB">
        <w:rPr>
          <w:b/>
          <w:bCs/>
          <w:color w:val="007FAB"/>
        </w:rPr>
        <w:t xml:space="preserve">available </w:t>
      </w:r>
      <w:r w:rsidRPr="167FD0CB">
        <w:rPr>
          <w:b/>
          <w:bCs/>
          <w:color w:val="007FAB"/>
        </w:rPr>
        <w:t xml:space="preserve">via </w:t>
      </w:r>
      <w:proofErr w:type="spellStart"/>
      <w:r w:rsidRPr="167FD0CB">
        <w:rPr>
          <w:b/>
          <w:bCs/>
          <w:color w:val="007FAB"/>
        </w:rPr>
        <w:t>Ngā</w:t>
      </w:r>
      <w:proofErr w:type="spellEnd"/>
      <w:r w:rsidRPr="167FD0CB">
        <w:rPr>
          <w:b/>
          <w:bCs/>
          <w:color w:val="007FAB"/>
        </w:rPr>
        <w:t xml:space="preserve"> Kete – Qlik?</w:t>
      </w:r>
      <w:r w:rsidR="00434ECE" w:rsidRPr="167FD0CB">
        <w:rPr>
          <w:b/>
          <w:bCs/>
          <w:color w:val="007FAB"/>
        </w:rPr>
        <w:t xml:space="preserve"> </w:t>
      </w:r>
      <w:r w:rsidR="0043517D" w:rsidRPr="167FD0CB">
        <w:rPr>
          <w:b/>
          <w:bCs/>
          <w:color w:val="007FAB"/>
        </w:rPr>
        <w:t>And will they be upgraded to include the new data fields?</w:t>
      </w:r>
    </w:p>
    <w:p w14:paraId="48E30646" w14:textId="3AE9D0F6" w:rsidR="003523D3" w:rsidRPr="006F7DD3" w:rsidRDefault="00434ECE" w:rsidP="006359A9">
      <w:pPr>
        <w:ind w:left="360"/>
      </w:pPr>
      <w:r>
        <w:t xml:space="preserve">These </w:t>
      </w:r>
      <w:r w:rsidR="003523D3">
        <w:t xml:space="preserve">apps will continue to be available through </w:t>
      </w:r>
      <w:proofErr w:type="spellStart"/>
      <w:r w:rsidR="003523D3">
        <w:t>Ngā</w:t>
      </w:r>
      <w:proofErr w:type="spellEnd"/>
      <w:r w:rsidR="003523D3">
        <w:t xml:space="preserve"> Kete – Qlik in the short-term</w:t>
      </w:r>
      <w:r>
        <w:t xml:space="preserve"> however the new data fields will not be</w:t>
      </w:r>
      <w:r w:rsidR="003523D3">
        <w:t xml:space="preserve"> include</w:t>
      </w:r>
      <w:r>
        <w:t>d</w:t>
      </w:r>
      <w:r w:rsidR="50146D2C">
        <w:t xml:space="preserve"> </w:t>
      </w:r>
      <w:r w:rsidR="50146D2C" w:rsidRPr="00BA6224">
        <w:t>until we transition to Power BI (date to be confirmed).</w:t>
      </w:r>
    </w:p>
    <w:p w14:paraId="4EC75EA9" w14:textId="4CF448D6" w:rsidR="005A4A93" w:rsidRDefault="00787085" w:rsidP="006359A9">
      <w:pPr>
        <w:ind w:firstLine="360"/>
      </w:pPr>
      <w:r>
        <w:t xml:space="preserve">Existing Detailed Data </w:t>
      </w:r>
      <w:r w:rsidR="005A4A93">
        <w:t>T</w:t>
      </w:r>
      <w:r>
        <w:t xml:space="preserve">ransparency sheets in </w:t>
      </w:r>
      <w:proofErr w:type="spellStart"/>
      <w:r>
        <w:t>Ngā</w:t>
      </w:r>
      <w:proofErr w:type="spellEnd"/>
      <w:r>
        <w:t xml:space="preserve"> Kete - </w:t>
      </w:r>
      <w:r w:rsidR="005A4A93">
        <w:t>Qlik apps:</w:t>
      </w:r>
    </w:p>
    <w:p w14:paraId="43AEEFEE" w14:textId="2D24375A" w:rsidR="00787085" w:rsidRDefault="00DD2CF3" w:rsidP="006359A9">
      <w:pPr>
        <w:pStyle w:val="ListParagraph"/>
        <w:numPr>
          <w:ilvl w:val="0"/>
          <w:numId w:val="17"/>
        </w:numPr>
      </w:pPr>
      <w:r>
        <w:t xml:space="preserve">(App) </w:t>
      </w:r>
      <w:r w:rsidR="00140E69">
        <w:t xml:space="preserve">My Provision – ITR: </w:t>
      </w:r>
      <w:r>
        <w:t xml:space="preserve">(sheet) </w:t>
      </w:r>
      <w:r w:rsidR="002305CF">
        <w:t xml:space="preserve">Enrolment </w:t>
      </w:r>
      <w:r w:rsidR="00B15F9D">
        <w:t>d</w:t>
      </w:r>
      <w:r w:rsidR="002305CF">
        <w:t>ata</w:t>
      </w:r>
      <w:r>
        <w:t xml:space="preserve">: </w:t>
      </w:r>
      <w:r w:rsidR="002305CF">
        <w:t xml:space="preserve">This provides </w:t>
      </w:r>
      <w:r>
        <w:t>the year-to-date data per Source Enrolment I</w:t>
      </w:r>
      <w:r w:rsidR="00787085">
        <w:t>D</w:t>
      </w:r>
    </w:p>
    <w:p w14:paraId="78FB1152" w14:textId="4CB04369" w:rsidR="007D3D6B" w:rsidRDefault="00DD2CF3" w:rsidP="167FD0CB">
      <w:pPr>
        <w:pStyle w:val="ListParagraph"/>
        <w:numPr>
          <w:ilvl w:val="0"/>
          <w:numId w:val="17"/>
        </w:numPr>
        <w:spacing w:after="240"/>
      </w:pPr>
      <w:r>
        <w:t xml:space="preserve">(App) My Industry Training Delivery </w:t>
      </w:r>
      <w:r w:rsidR="00B15F9D">
        <w:t>and</w:t>
      </w:r>
      <w:r>
        <w:t xml:space="preserve"> Offsets: (sheet) </w:t>
      </w:r>
      <w:r w:rsidR="00B15F9D">
        <w:t>Detailed transparency data</w:t>
      </w:r>
      <w:r w:rsidR="002363D7">
        <w:t xml:space="preserve"> provides additional</w:t>
      </w:r>
      <w:r w:rsidR="00787085">
        <w:t xml:space="preserve"> data</w:t>
      </w:r>
      <w:r w:rsidR="002363D7">
        <w:t xml:space="preserve"> including monthly data for each enrolment</w:t>
      </w:r>
      <w:r w:rsidR="00787085">
        <w:t xml:space="preserve"> and </w:t>
      </w:r>
      <w:r w:rsidR="00F82890">
        <w:t xml:space="preserve">data relating to the ‘old’ </w:t>
      </w:r>
      <w:r w:rsidR="00C428C9">
        <w:t>funding offsets</w:t>
      </w:r>
    </w:p>
    <w:p w14:paraId="499D8947" w14:textId="6C80886A" w:rsidR="167FD0CB" w:rsidRDefault="167FD0CB" w:rsidP="167FD0CB">
      <w:pPr>
        <w:pStyle w:val="ListParagraph"/>
        <w:ind w:left="360"/>
        <w:rPr>
          <w:color w:val="007FAB"/>
        </w:rPr>
      </w:pPr>
    </w:p>
    <w:p w14:paraId="19DF984A" w14:textId="77777777" w:rsidR="006F7DD3" w:rsidRDefault="005641C4" w:rsidP="167FD0CB">
      <w:pPr>
        <w:pStyle w:val="ListParagraph"/>
        <w:numPr>
          <w:ilvl w:val="0"/>
          <w:numId w:val="1"/>
        </w:numPr>
        <w:rPr>
          <w:b/>
          <w:bCs/>
          <w:color w:val="007FAB"/>
        </w:rPr>
      </w:pPr>
      <w:r w:rsidRPr="167FD0CB">
        <w:rPr>
          <w:b/>
          <w:bCs/>
          <w:color w:val="007FAB"/>
        </w:rPr>
        <w:t>Can we use tohutō / Māori macrons</w:t>
      </w:r>
      <w:r w:rsidR="006F7DD3" w:rsidRPr="167FD0CB">
        <w:rPr>
          <w:b/>
          <w:bCs/>
          <w:color w:val="007FAB"/>
        </w:rPr>
        <w:t>?</w:t>
      </w:r>
    </w:p>
    <w:p w14:paraId="31E205BB" w14:textId="7CCB84AB" w:rsidR="006F7DD3" w:rsidRPr="006F7DD3" w:rsidRDefault="006F7DD3" w:rsidP="006359A9">
      <w:pPr>
        <w:ind w:firstLine="360"/>
      </w:pPr>
      <w:r w:rsidRPr="006F7DD3">
        <w:t>Yes, the new solution support this (known as Unicode).</w:t>
      </w:r>
    </w:p>
    <w:p w14:paraId="1A6FB7D6" w14:textId="4DE89499" w:rsidR="006F7DD3" w:rsidRDefault="004D5697" w:rsidP="167FD0CB">
      <w:pPr>
        <w:pStyle w:val="ListParagraph"/>
        <w:numPr>
          <w:ilvl w:val="0"/>
          <w:numId w:val="1"/>
        </w:numPr>
        <w:rPr>
          <w:b/>
          <w:bCs/>
          <w:color w:val="007FAB"/>
        </w:rPr>
      </w:pPr>
      <w:r w:rsidRPr="167FD0CB">
        <w:rPr>
          <w:b/>
          <w:bCs/>
          <w:color w:val="007FAB"/>
        </w:rPr>
        <w:t xml:space="preserve">Is there additional guidance for </w:t>
      </w:r>
      <w:r w:rsidR="006F7DD3" w:rsidRPr="167FD0CB">
        <w:rPr>
          <w:b/>
          <w:bCs/>
          <w:color w:val="007FAB"/>
        </w:rPr>
        <w:t>Accredited Employer Work Visa Learners, Citizenship and Residency fields</w:t>
      </w:r>
      <w:r w:rsidRPr="167FD0CB">
        <w:rPr>
          <w:b/>
          <w:bCs/>
          <w:color w:val="007FAB"/>
        </w:rPr>
        <w:t>?</w:t>
      </w:r>
    </w:p>
    <w:p w14:paraId="3B9C5BD8" w14:textId="7641E271" w:rsidR="00995C86" w:rsidRDefault="007559B1" w:rsidP="006359A9">
      <w:pPr>
        <w:pStyle w:val="ListParagraph"/>
        <w:numPr>
          <w:ilvl w:val="0"/>
          <w:numId w:val="18"/>
        </w:numPr>
      </w:pPr>
      <w:r>
        <w:t>Consistent with the policy changes</w:t>
      </w:r>
      <w:r w:rsidR="007B08B9">
        <w:t xml:space="preserve"> requiring learners to be </w:t>
      </w:r>
      <w:r w:rsidR="007B08B9" w:rsidRPr="007B08B9">
        <w:rPr>
          <w:b/>
          <w:bCs/>
        </w:rPr>
        <w:t>domestic</w:t>
      </w:r>
      <w:r w:rsidR="002F1293">
        <w:t>*</w:t>
      </w:r>
      <w:r w:rsidR="009B213E">
        <w:t>,</w:t>
      </w:r>
      <w:r w:rsidR="002F1293">
        <w:t xml:space="preserve"> </w:t>
      </w:r>
      <w:r w:rsidR="00133F21">
        <w:t xml:space="preserve">we have introduced new fields that will enable </w:t>
      </w:r>
      <w:r w:rsidR="00995C86">
        <w:t xml:space="preserve">appropriate </w:t>
      </w:r>
      <w:r w:rsidR="00133F21">
        <w:t>validations</w:t>
      </w:r>
      <w:r w:rsidR="00995C86">
        <w:t>.</w:t>
      </w:r>
    </w:p>
    <w:p w14:paraId="00F55138" w14:textId="6F3495A6" w:rsidR="00995C86" w:rsidRPr="002F1293" w:rsidRDefault="002F1293" w:rsidP="006359A9">
      <w:pPr>
        <w:pStyle w:val="ListParagraph"/>
        <w:numPr>
          <w:ilvl w:val="0"/>
          <w:numId w:val="18"/>
        </w:numPr>
      </w:pPr>
      <w:r>
        <w:rPr>
          <w:rFonts w:cs="Calibri"/>
        </w:rPr>
        <w:t>*</w:t>
      </w:r>
      <w:r w:rsidR="00244E12" w:rsidRPr="002F1293">
        <w:rPr>
          <w:rFonts w:cs="Calibri"/>
        </w:rPr>
        <w:t xml:space="preserve">For full details refer to the </w:t>
      </w:r>
      <w:hyperlink r:id="rId7" w:history="1">
        <w:r w:rsidR="00244E12" w:rsidRPr="002F1293">
          <w:rPr>
            <w:rStyle w:val="Hyperlink"/>
            <w:rFonts w:cs="Calibri"/>
          </w:rPr>
          <w:t>NZ Gazette</w:t>
        </w:r>
      </w:hyperlink>
      <w:r w:rsidR="00244E12" w:rsidRPr="002F1293">
        <w:rPr>
          <w:rFonts w:cs="Calibri"/>
        </w:rPr>
        <w:t xml:space="preserve"> for the latest </w:t>
      </w:r>
      <w:r w:rsidR="00244E12" w:rsidRPr="002F1293">
        <w:rPr>
          <w:rFonts w:cs="Calibri"/>
          <w:i/>
          <w:iCs/>
        </w:rPr>
        <w:t>Tertiary Education (Domestic Students) Notice.</w:t>
      </w:r>
    </w:p>
    <w:p w14:paraId="34882E50" w14:textId="7EF4E66F" w:rsidR="006F7DD3" w:rsidRDefault="006F7DD3" w:rsidP="006359A9">
      <w:pPr>
        <w:pStyle w:val="ListParagraph"/>
        <w:numPr>
          <w:ilvl w:val="0"/>
          <w:numId w:val="18"/>
        </w:numPr>
      </w:pPr>
      <w:r>
        <w:t>Learners who are not valid domestic learners and are not in programmes eligible under AEWV (and not grand-parented from before the policy change - 1/</w:t>
      </w:r>
      <w:r w:rsidR="009B213E">
        <w:t>Jan</w:t>
      </w:r>
      <w:r>
        <w:t>/23) should not be reported in the data.</w:t>
      </w:r>
    </w:p>
    <w:p w14:paraId="67657BAA" w14:textId="77777777" w:rsidR="006F7DD3" w:rsidRDefault="006F7DD3" w:rsidP="006359A9">
      <w:pPr>
        <w:pStyle w:val="ListParagraph"/>
        <w:numPr>
          <w:ilvl w:val="0"/>
          <w:numId w:val="18"/>
        </w:numPr>
      </w:pPr>
      <w:r>
        <w:t>When non-domestic learners are reported - we will be checking they are in a valid AEWV programme. We are going to check whether validations for grand-parented learners are still required.</w:t>
      </w:r>
    </w:p>
    <w:p w14:paraId="3112657A" w14:textId="45AEB2C3" w:rsidR="006F7DD3" w:rsidRDefault="00CF32B8" w:rsidP="006359A9">
      <w:pPr>
        <w:pStyle w:val="ListParagraph"/>
        <w:numPr>
          <w:ilvl w:val="0"/>
          <w:numId w:val="18"/>
        </w:numPr>
      </w:pPr>
      <w:r>
        <w:lastRenderedPageBreak/>
        <w:t>O</w:t>
      </w:r>
      <w:r w:rsidR="006F7DD3">
        <w:t xml:space="preserve">nly people who hold an AEWV will meet the criteria to be deemed a valid domestic enrolment for this funding. The specific requirements can be found at </w:t>
      </w:r>
      <w:hyperlink r:id="rId8" w:history="1">
        <w:r w:rsidR="006F7DD3" w:rsidRPr="00CF32B8">
          <w:rPr>
            <w:rStyle w:val="Hyperlink"/>
          </w:rPr>
          <w:t>AEWV holders – funding eligibility</w:t>
        </w:r>
      </w:hyperlink>
      <w:r w:rsidR="008F66DC">
        <w:t>.</w:t>
      </w:r>
      <w:r w:rsidR="006F7DD3">
        <w:t xml:space="preserve"> </w:t>
      </w:r>
    </w:p>
    <w:p w14:paraId="4AEC3F2B" w14:textId="09FAEE62" w:rsidR="006F7DD3" w:rsidRDefault="006F7DD3" w:rsidP="006359A9">
      <w:pPr>
        <w:pStyle w:val="ListParagraph"/>
        <w:numPr>
          <w:ilvl w:val="0"/>
          <w:numId w:val="18"/>
        </w:numPr>
      </w:pPr>
      <w:r>
        <w:t>As a condition of any DQ3-7 funding, TEOs must ensure each funded learner meets the valid domestic enrolment criteria (condition 5.1 in the funding conditions). As part of determining if a learner is a valid domestic enrolment, TEOs must check the visa type/status of most visa holders. This includes monitoring the end dates of visas to ensure they continue to be on a valid AEWV for the duration of their programme. Visa types and statuses must be checked, whether or not our systems have validations in place, as many work visa holders are not eligible to be funded as a valid domestic enrolment under current settings.</w:t>
      </w:r>
    </w:p>
    <w:p w14:paraId="34FA2766" w14:textId="501A22AB" w:rsidR="00CF32B8" w:rsidRPr="006359A9" w:rsidRDefault="00CF32B8" w:rsidP="00CF32B8">
      <w:pPr>
        <w:pStyle w:val="ListParagraph"/>
        <w:numPr>
          <w:ilvl w:val="0"/>
          <w:numId w:val="3"/>
        </w:numPr>
      </w:pPr>
      <w:r w:rsidRPr="006359A9">
        <w:t>We will provide further information on any data back-filling requirements and the validation rules</w:t>
      </w:r>
      <w:r w:rsidR="005D7846" w:rsidRPr="006359A9">
        <w:t>.</w:t>
      </w:r>
    </w:p>
    <w:p w14:paraId="17CAD438" w14:textId="77777777" w:rsidR="00F4340D" w:rsidRDefault="00F4340D" w:rsidP="00F4340D">
      <w:pPr>
        <w:pStyle w:val="ListParagraph"/>
        <w:ind w:left="360"/>
        <w:rPr>
          <w:b/>
          <w:bCs/>
          <w:color w:val="007FAB"/>
        </w:rPr>
      </w:pPr>
    </w:p>
    <w:p w14:paraId="189C36F4" w14:textId="4D157597" w:rsidR="006F7DD3" w:rsidRDefault="004D5697" w:rsidP="167FD0CB">
      <w:pPr>
        <w:pStyle w:val="ListParagraph"/>
        <w:numPr>
          <w:ilvl w:val="0"/>
          <w:numId w:val="1"/>
        </w:numPr>
        <w:rPr>
          <w:b/>
          <w:bCs/>
          <w:color w:val="007FAB"/>
        </w:rPr>
      </w:pPr>
      <w:r w:rsidRPr="167FD0CB">
        <w:rPr>
          <w:b/>
          <w:bCs/>
          <w:color w:val="007FAB"/>
        </w:rPr>
        <w:t xml:space="preserve">What are the changes for </w:t>
      </w:r>
      <w:r w:rsidR="006F7DD3" w:rsidRPr="167FD0CB">
        <w:rPr>
          <w:b/>
          <w:bCs/>
          <w:color w:val="007FAB"/>
        </w:rPr>
        <w:t>Occupation Codes</w:t>
      </w:r>
      <w:r w:rsidR="000E4979" w:rsidRPr="167FD0CB">
        <w:rPr>
          <w:b/>
          <w:bCs/>
          <w:color w:val="007FAB"/>
        </w:rPr>
        <w:t xml:space="preserve"> and Programme Funding Rates</w:t>
      </w:r>
    </w:p>
    <w:p w14:paraId="0B9933A2" w14:textId="67E0DE84" w:rsidR="00E477C3" w:rsidRDefault="004D5697" w:rsidP="006359A9">
      <w:pPr>
        <w:pStyle w:val="ListParagraph"/>
        <w:ind w:left="360"/>
      </w:pPr>
      <w:r>
        <w:t xml:space="preserve">Please refer to the </w:t>
      </w:r>
      <w:r w:rsidRPr="4E8280B8">
        <w:rPr>
          <w:i/>
          <w:iCs/>
        </w:rPr>
        <w:t>Occupation Codes backfilling, incl</w:t>
      </w:r>
      <w:r w:rsidR="5E35E697" w:rsidRPr="4E8280B8">
        <w:rPr>
          <w:i/>
          <w:iCs/>
        </w:rPr>
        <w:t>uding</w:t>
      </w:r>
      <w:r w:rsidRPr="4E8280B8">
        <w:rPr>
          <w:i/>
          <w:iCs/>
        </w:rPr>
        <w:t xml:space="preserve"> TA</w:t>
      </w:r>
      <w:r w:rsidRPr="4E8280B8">
        <w:rPr>
          <w:b/>
          <w:bCs/>
        </w:rPr>
        <w:t xml:space="preserve"> </w:t>
      </w:r>
      <w:r>
        <w:t>document</w:t>
      </w:r>
      <w:r w:rsidR="00E477C3">
        <w:t xml:space="preserve"> </w:t>
      </w:r>
      <w:r w:rsidR="12E90B3C">
        <w:t xml:space="preserve">on the </w:t>
      </w:r>
      <w:hyperlink r:id="rId9">
        <w:r w:rsidR="12E90B3C" w:rsidRPr="4E8280B8">
          <w:rPr>
            <w:rStyle w:val="Hyperlink"/>
          </w:rPr>
          <w:t>TEC website</w:t>
        </w:r>
      </w:hyperlink>
      <w:r w:rsidR="12E90B3C">
        <w:t xml:space="preserve">. </w:t>
      </w:r>
      <w:r>
        <w:t xml:space="preserve">This </w:t>
      </w:r>
      <w:r w:rsidR="00FE6211">
        <w:t xml:space="preserve">document includes </w:t>
      </w:r>
      <w:r w:rsidR="000E4979">
        <w:t xml:space="preserve">additional </w:t>
      </w:r>
      <w:r w:rsidR="00FE6211">
        <w:t>information about Programme Funding Rates.</w:t>
      </w:r>
    </w:p>
    <w:p w14:paraId="7AB3DE0E" w14:textId="6F7744B6" w:rsidR="00363F06" w:rsidRPr="00B5546E" w:rsidRDefault="00BE4033" w:rsidP="006359A9">
      <w:pPr>
        <w:ind w:left="360"/>
      </w:pPr>
      <w:r>
        <w:rPr>
          <w:b/>
          <w:bCs/>
        </w:rPr>
        <w:t xml:space="preserve">Programme </w:t>
      </w:r>
      <w:r w:rsidR="00363F06" w:rsidRPr="00E208F6">
        <w:rPr>
          <w:b/>
          <w:bCs/>
        </w:rPr>
        <w:t xml:space="preserve">Funding </w:t>
      </w:r>
      <w:r>
        <w:rPr>
          <w:b/>
          <w:bCs/>
        </w:rPr>
        <w:t>R</w:t>
      </w:r>
      <w:r w:rsidR="00363F06" w:rsidRPr="00E208F6">
        <w:rPr>
          <w:b/>
          <w:bCs/>
        </w:rPr>
        <w:t>ates</w:t>
      </w:r>
      <w:r w:rsidR="004D5697">
        <w:rPr>
          <w:b/>
          <w:bCs/>
        </w:rPr>
        <w:t xml:space="preserve">: </w:t>
      </w:r>
      <w:r w:rsidR="00363F06">
        <w:t xml:space="preserve">The </w:t>
      </w:r>
      <w:r w:rsidR="00FE6211">
        <w:t>Occupation C</w:t>
      </w:r>
      <w:r w:rsidR="00363F06">
        <w:t xml:space="preserve">odes will replace Programme Group in updated functionality to apply </w:t>
      </w:r>
      <w:r w:rsidR="00363F06" w:rsidRPr="00B5546E">
        <w:t>funding rates to Programmes</w:t>
      </w:r>
      <w:r w:rsidR="00363F06">
        <w:t>.</w:t>
      </w:r>
    </w:p>
    <w:p w14:paraId="6F69A2A6" w14:textId="7DF6B14F" w:rsidR="00363F06" w:rsidRPr="00B5546E" w:rsidRDefault="00363F06" w:rsidP="006359A9">
      <w:pPr>
        <w:ind w:left="360"/>
      </w:pPr>
      <w:r>
        <w:rPr>
          <w:b/>
          <w:bCs/>
        </w:rPr>
        <w:t>Current state:</w:t>
      </w:r>
      <w:r w:rsidRPr="00B5546E">
        <w:t> Programme Group Narrow (level</w:t>
      </w:r>
      <w:r w:rsidR="000622C8">
        <w:t xml:space="preserve"> </w:t>
      </w:r>
      <w:r w:rsidRPr="00B5546E">
        <w:t>2) + NZSCED + NZQCF level (where level is relevant to the funding rate)</w:t>
      </w:r>
    </w:p>
    <w:p w14:paraId="67996DD7" w14:textId="384A5929" w:rsidR="00363F06" w:rsidRPr="00B5546E" w:rsidRDefault="00363F06" w:rsidP="006359A9">
      <w:pPr>
        <w:ind w:left="360"/>
      </w:pPr>
      <w:r>
        <w:rPr>
          <w:b/>
          <w:bCs/>
        </w:rPr>
        <w:t xml:space="preserve">Updated: </w:t>
      </w:r>
      <w:r>
        <w:rPr>
          <w:b/>
          <w:bCs/>
        </w:rPr>
        <w:tab/>
      </w:r>
      <w:r w:rsidRPr="006359A9">
        <w:rPr>
          <w:u w:val="single"/>
        </w:rPr>
        <w:t>Occupation Code (of the programme)</w:t>
      </w:r>
      <w:r w:rsidRPr="00B5546E">
        <w:rPr>
          <w:b/>
          <w:bCs/>
        </w:rPr>
        <w:t> </w:t>
      </w:r>
      <w:r w:rsidRPr="00B5546E">
        <w:t>+ NZSCED + NZQCF level (where level is relevant to the funding rate)</w:t>
      </w:r>
    </w:p>
    <w:p w14:paraId="35D6295D" w14:textId="4A82E191" w:rsidR="006F7DD3" w:rsidRPr="00BA6224" w:rsidRDefault="00C66AA3" w:rsidP="00BA6224">
      <w:pPr>
        <w:pStyle w:val="ListParagraph"/>
        <w:numPr>
          <w:ilvl w:val="0"/>
          <w:numId w:val="1"/>
        </w:numPr>
        <w:rPr>
          <w:b/>
          <w:bCs/>
          <w:color w:val="007FAB"/>
        </w:rPr>
      </w:pPr>
      <w:r w:rsidRPr="00BA6224">
        <w:rPr>
          <w:b/>
          <w:bCs/>
          <w:color w:val="007FAB"/>
        </w:rPr>
        <w:t xml:space="preserve">Why does the </w:t>
      </w:r>
      <w:r w:rsidR="006F7DD3" w:rsidRPr="00BA6224">
        <w:rPr>
          <w:b/>
          <w:bCs/>
          <w:color w:val="007FAB"/>
        </w:rPr>
        <w:t xml:space="preserve">Training Plan </w:t>
      </w:r>
      <w:r w:rsidR="008A0781" w:rsidRPr="00BA6224">
        <w:rPr>
          <w:b/>
          <w:bCs/>
          <w:color w:val="007FAB"/>
        </w:rPr>
        <w:t xml:space="preserve">include </w:t>
      </w:r>
      <w:r w:rsidR="006F7DD3" w:rsidRPr="00BA6224">
        <w:rPr>
          <w:b/>
          <w:bCs/>
          <w:color w:val="007FAB"/>
        </w:rPr>
        <w:t>field</w:t>
      </w:r>
      <w:r w:rsidR="008A0781" w:rsidRPr="00BA6224">
        <w:rPr>
          <w:b/>
          <w:bCs/>
          <w:color w:val="007FAB"/>
        </w:rPr>
        <w:t xml:space="preserve">s for </w:t>
      </w:r>
      <w:r w:rsidR="00540EE4" w:rsidRPr="00BA6224">
        <w:rPr>
          <w:b/>
          <w:bCs/>
          <w:color w:val="007FAB"/>
        </w:rPr>
        <w:t>Visits?</w:t>
      </w:r>
    </w:p>
    <w:p w14:paraId="2265B795" w14:textId="1F53323F" w:rsidR="006F7DD3" w:rsidRDefault="00540EE4" w:rsidP="006359A9">
      <w:pPr>
        <w:ind w:left="360"/>
      </w:pPr>
      <w:r>
        <w:t xml:space="preserve">Whilst the </w:t>
      </w:r>
      <w:r w:rsidR="006F7DD3" w:rsidRPr="006F7DD3">
        <w:t>requirement for reporting four NZA visits per year was removed a few years ago</w:t>
      </w:r>
      <w:r>
        <w:t xml:space="preserve">, </w:t>
      </w:r>
      <w:r w:rsidR="006F7DD3">
        <w:t>DSR has been asked to retain these fields.</w:t>
      </w:r>
    </w:p>
    <w:p w14:paraId="334099FC" w14:textId="77777777" w:rsidR="006F7DD3" w:rsidRDefault="006F7DD3" w:rsidP="006359A9">
      <w:pPr>
        <w:ind w:left="360"/>
      </w:pPr>
      <w:r>
        <w:t xml:space="preserve">This will be reviewed and a decision made about whether the visits data is a requirement for apprentices and/or other work-based learners with the changes coming out of the VET reforms. </w:t>
      </w:r>
    </w:p>
    <w:p w14:paraId="40441DFE" w14:textId="50601DA1" w:rsidR="006F7DD3" w:rsidRDefault="006F7DD3" w:rsidP="006359A9">
      <w:pPr>
        <w:ind w:firstLine="360"/>
      </w:pPr>
      <w:r>
        <w:t>TEC will provide further information following the policy decisions.</w:t>
      </w:r>
    </w:p>
    <w:p w14:paraId="3C303D28" w14:textId="5311C516" w:rsidR="006F7DD3" w:rsidRPr="00BA6224" w:rsidRDefault="00592CBB" w:rsidP="00BA6224">
      <w:pPr>
        <w:pStyle w:val="ListParagraph"/>
        <w:numPr>
          <w:ilvl w:val="0"/>
          <w:numId w:val="1"/>
        </w:numPr>
        <w:rPr>
          <w:b/>
          <w:bCs/>
          <w:color w:val="007FAB"/>
        </w:rPr>
      </w:pPr>
      <w:r w:rsidRPr="00BA6224">
        <w:rPr>
          <w:b/>
          <w:bCs/>
          <w:color w:val="007FAB"/>
        </w:rPr>
        <w:t>Can TEC provide guidance/ expectations on how to report off-job delivery?</w:t>
      </w:r>
    </w:p>
    <w:p w14:paraId="5C43447A" w14:textId="77777777" w:rsidR="00592CBB" w:rsidRPr="006359A9" w:rsidRDefault="00592CBB" w:rsidP="006359A9">
      <w:pPr>
        <w:pStyle w:val="ListParagraph"/>
        <w:numPr>
          <w:ilvl w:val="0"/>
          <w:numId w:val="18"/>
        </w:numPr>
      </w:pPr>
      <w:r w:rsidRPr="006359A9">
        <w:t>A: TEC will not provide any guidance on off-job delivery reporting until the VET-Work-based policy settings are confirmed.  </w:t>
      </w:r>
    </w:p>
    <w:p w14:paraId="1BA6E825" w14:textId="77777777" w:rsidR="00592CBB" w:rsidRDefault="00592CBB" w:rsidP="00252529">
      <w:pPr>
        <w:pStyle w:val="ListParagraph"/>
        <w:numPr>
          <w:ilvl w:val="0"/>
          <w:numId w:val="4"/>
        </w:numPr>
        <w:spacing w:line="240" w:lineRule="auto"/>
        <w:ind w:left="714" w:hanging="357"/>
      </w:pPr>
      <w:r w:rsidRPr="006359A9">
        <w:t>TEOs should continue with their current off-job delivery reporting. </w:t>
      </w:r>
    </w:p>
    <w:p w14:paraId="62F21DC1" w14:textId="77777777" w:rsidR="00252529" w:rsidRPr="006359A9" w:rsidRDefault="00252529" w:rsidP="006359A9">
      <w:pPr>
        <w:pStyle w:val="ListParagraph"/>
        <w:spacing w:line="240" w:lineRule="auto"/>
        <w:ind w:left="714"/>
      </w:pPr>
    </w:p>
    <w:p w14:paraId="15D274F1" w14:textId="3879FD05" w:rsidR="00274259" w:rsidRPr="00BA6224" w:rsidRDefault="007D2F1E" w:rsidP="00BA6224">
      <w:pPr>
        <w:pStyle w:val="ListParagraph"/>
        <w:numPr>
          <w:ilvl w:val="0"/>
          <w:numId w:val="1"/>
        </w:numPr>
        <w:rPr>
          <w:b/>
          <w:bCs/>
          <w:color w:val="007FAB"/>
        </w:rPr>
      </w:pPr>
      <w:r w:rsidRPr="00BA6224">
        <w:rPr>
          <w:b/>
          <w:bCs/>
          <w:color w:val="007FAB"/>
        </w:rPr>
        <w:lastRenderedPageBreak/>
        <w:t xml:space="preserve">What are the requirements for </w:t>
      </w:r>
      <w:r w:rsidR="00274259" w:rsidRPr="00BA6224">
        <w:rPr>
          <w:b/>
          <w:bCs/>
          <w:color w:val="007FAB"/>
        </w:rPr>
        <w:t>Programme approvals – NZAs and micro-credentials</w:t>
      </w:r>
      <w:r w:rsidRPr="00BA6224">
        <w:rPr>
          <w:b/>
          <w:bCs/>
          <w:color w:val="007FAB"/>
        </w:rPr>
        <w:t>?</w:t>
      </w:r>
    </w:p>
    <w:p w14:paraId="5210EEC3" w14:textId="644341F7" w:rsidR="002A1DA1" w:rsidRDefault="00610497" w:rsidP="006359A9">
      <w:pPr>
        <w:ind w:left="360"/>
      </w:pPr>
      <w:r>
        <w:t>Both micro-</w:t>
      </w:r>
      <w:r w:rsidR="002A1DA1">
        <w:t>credentials</w:t>
      </w:r>
      <w:r>
        <w:t xml:space="preserve"> (MC) and New Zealand Apprenticeships (NZA) programmes require</w:t>
      </w:r>
      <w:r w:rsidR="000A3288">
        <w:t xml:space="preserve"> </w:t>
      </w:r>
      <w:r w:rsidR="002A1DA1">
        <w:t xml:space="preserve">TEC manual approval. When the programme is </w:t>
      </w:r>
      <w:proofErr w:type="gramStart"/>
      <w:r w:rsidR="002A1DA1">
        <w:t>set-up</w:t>
      </w:r>
      <w:proofErr w:type="gramEnd"/>
      <w:r w:rsidR="002A1DA1">
        <w:t xml:space="preserve"> it will have </w:t>
      </w:r>
      <w:r w:rsidR="000A3288">
        <w:t xml:space="preserve">a </w:t>
      </w:r>
      <w:r w:rsidR="002A1DA1">
        <w:t xml:space="preserve">status </w:t>
      </w:r>
      <w:r w:rsidR="000A3288">
        <w:t>of ‘</w:t>
      </w:r>
      <w:r w:rsidR="002A1DA1">
        <w:t>Pending</w:t>
      </w:r>
      <w:r w:rsidR="000A3288">
        <w:t>’</w:t>
      </w:r>
      <w:r w:rsidR="002A1DA1">
        <w:t xml:space="preserve">; once TEC has approved, </w:t>
      </w:r>
      <w:r w:rsidR="007D2F1E">
        <w:t xml:space="preserve">the </w:t>
      </w:r>
      <w:r w:rsidR="002A1DA1">
        <w:t xml:space="preserve">status will change to </w:t>
      </w:r>
      <w:r w:rsidR="000A3288">
        <w:t>‘</w:t>
      </w:r>
      <w:r w:rsidR="002A1DA1">
        <w:t>Active</w:t>
      </w:r>
      <w:proofErr w:type="gramStart"/>
      <w:r w:rsidR="000A3288">
        <w:t>’</w:t>
      </w:r>
      <w:proofErr w:type="gramEnd"/>
      <w:r w:rsidR="002A1DA1">
        <w:t xml:space="preserve"> and enrolments will be allowed.</w:t>
      </w:r>
    </w:p>
    <w:p w14:paraId="5CFB12DD" w14:textId="3AEC72EC" w:rsidR="007B46CE" w:rsidRDefault="002F45C8" w:rsidP="00840A4A">
      <w:pPr>
        <w:pStyle w:val="ListParagraph"/>
        <w:numPr>
          <w:ilvl w:val="0"/>
          <w:numId w:val="4"/>
        </w:numPr>
      </w:pPr>
      <w:r>
        <w:t xml:space="preserve">You </w:t>
      </w:r>
      <w:r w:rsidR="007B46CE">
        <w:t xml:space="preserve">will </w:t>
      </w:r>
      <w:r>
        <w:t xml:space="preserve">be able to </w:t>
      </w:r>
      <w:r w:rsidR="007B46CE">
        <w:t>check whether your new Programme (</w:t>
      </w:r>
      <w:r w:rsidR="00E207F3">
        <w:t>Programme-Version) has been approved</w:t>
      </w:r>
      <w:r w:rsidR="00840A4A">
        <w:t xml:space="preserve"> via a</w:t>
      </w:r>
      <w:r w:rsidR="00252529">
        <w:t xml:space="preserve"> screen in DXP </w:t>
      </w:r>
      <w:proofErr w:type="spellStart"/>
      <w:r w:rsidR="00252529">
        <w:t>Ngā</w:t>
      </w:r>
      <w:proofErr w:type="spellEnd"/>
      <w:r w:rsidR="00252529">
        <w:t xml:space="preserve"> Kete</w:t>
      </w:r>
      <w:r w:rsidR="00E207F3">
        <w:t>.</w:t>
      </w:r>
    </w:p>
    <w:p w14:paraId="6BF65F01" w14:textId="1C0193DD" w:rsidR="008B3190" w:rsidRDefault="002A1DA1" w:rsidP="006359A9">
      <w:pPr>
        <w:ind w:left="360"/>
      </w:pPr>
      <w:r>
        <w:t xml:space="preserve">As part of data migration, TEC will migrate </w:t>
      </w:r>
      <w:r w:rsidR="008B3190">
        <w:t xml:space="preserve">the current </w:t>
      </w:r>
      <w:r>
        <w:t>MCs as MC and SCPs as SCP.</w:t>
      </w:r>
    </w:p>
    <w:p w14:paraId="3AB75A64" w14:textId="170196C2" w:rsidR="002A1DA1" w:rsidRDefault="002A1DA1" w:rsidP="00E207F3">
      <w:pPr>
        <w:pStyle w:val="ListParagraph"/>
        <w:numPr>
          <w:ilvl w:val="0"/>
          <w:numId w:val="4"/>
        </w:numPr>
      </w:pPr>
      <w:r>
        <w:t xml:space="preserve">We are currently reviewing all </w:t>
      </w:r>
      <w:r w:rsidR="008B3190">
        <w:t xml:space="preserve">MCs, and SCPs with the programme name that includes “MC”, </w:t>
      </w:r>
      <w:r>
        <w:t>against the rules to ensure we migrate the</w:t>
      </w:r>
      <w:r w:rsidR="00F92CA6">
        <w:t xml:space="preserve"> </w:t>
      </w:r>
      <w:r>
        <w:t xml:space="preserve">programmes correctly. </w:t>
      </w:r>
    </w:p>
    <w:p w14:paraId="271379EF" w14:textId="2605052B" w:rsidR="002A1DA1" w:rsidRDefault="002A1DA1" w:rsidP="006359A9">
      <w:pPr>
        <w:ind w:left="360"/>
      </w:pPr>
      <w:r>
        <w:t>Because we “recycled” the SCP programme type (by relaxing the SCP validations) we are checking:</w:t>
      </w:r>
    </w:p>
    <w:p w14:paraId="313983DE" w14:textId="03924DBF" w:rsidR="002A1DA1" w:rsidRDefault="002A1DA1" w:rsidP="00E207F3">
      <w:pPr>
        <w:pStyle w:val="ListParagraph"/>
        <w:numPr>
          <w:ilvl w:val="0"/>
          <w:numId w:val="4"/>
        </w:numPr>
      </w:pPr>
      <w:r>
        <w:t>Duration</w:t>
      </w:r>
    </w:p>
    <w:p w14:paraId="06849E6A" w14:textId="1EBD3E4E" w:rsidR="002A1DA1" w:rsidRDefault="002A1DA1" w:rsidP="00E207F3">
      <w:pPr>
        <w:pStyle w:val="ListParagraph"/>
        <w:numPr>
          <w:ilvl w:val="0"/>
          <w:numId w:val="4"/>
        </w:numPr>
      </w:pPr>
      <w:r>
        <w:t>Credit value</w:t>
      </w:r>
    </w:p>
    <w:p w14:paraId="28BDF5EB" w14:textId="5D0BE65D" w:rsidR="002A1DA1" w:rsidRDefault="002A1DA1" w:rsidP="00E207F3">
      <w:pPr>
        <w:pStyle w:val="ListParagraph"/>
        <w:numPr>
          <w:ilvl w:val="0"/>
          <w:numId w:val="4"/>
        </w:numPr>
      </w:pPr>
      <w:r>
        <w:t>TEC MC funding approval</w:t>
      </w:r>
    </w:p>
    <w:p w14:paraId="1A8FEEB2" w14:textId="299B3E2F" w:rsidR="002A1DA1" w:rsidRDefault="00F52D91" w:rsidP="006359A9">
      <w:pPr>
        <w:ind w:left="360"/>
      </w:pPr>
      <w:r>
        <w:t>Note that</w:t>
      </w:r>
      <w:r w:rsidR="002A1DA1">
        <w:t xml:space="preserve"> the volume of delivery algorithm </w:t>
      </w:r>
      <w:r w:rsidR="001E4E6B">
        <w:t xml:space="preserve">(previously the ‘STM calculation’) </w:t>
      </w:r>
      <w:r w:rsidR="002A1DA1">
        <w:t xml:space="preserve">is the same for SCPs, MCs and all </w:t>
      </w:r>
      <w:r w:rsidR="002A1DA1" w:rsidRPr="009B2ED4">
        <w:t>other programme types</w:t>
      </w:r>
      <w:r w:rsidR="002A1DA1">
        <w:t>.</w:t>
      </w:r>
    </w:p>
    <w:p w14:paraId="044EA71A" w14:textId="4F9B06C6" w:rsidR="002A1DA1" w:rsidRPr="00BA6224" w:rsidRDefault="001E4E6B" w:rsidP="00BA6224">
      <w:pPr>
        <w:pStyle w:val="ListParagraph"/>
        <w:numPr>
          <w:ilvl w:val="0"/>
          <w:numId w:val="1"/>
        </w:numPr>
        <w:rPr>
          <w:b/>
          <w:bCs/>
          <w:color w:val="007FAB"/>
        </w:rPr>
      </w:pPr>
      <w:r w:rsidRPr="00BA6224">
        <w:rPr>
          <w:b/>
          <w:bCs/>
          <w:color w:val="007FAB"/>
        </w:rPr>
        <w:t xml:space="preserve">Are micro-credentials subject to a </w:t>
      </w:r>
      <w:r w:rsidR="0009242D" w:rsidRPr="00BA6224">
        <w:rPr>
          <w:b/>
          <w:bCs/>
          <w:color w:val="007FAB"/>
        </w:rPr>
        <w:t>three</w:t>
      </w:r>
      <w:r w:rsidRPr="00BA6224">
        <w:rPr>
          <w:b/>
          <w:bCs/>
          <w:color w:val="007FAB"/>
        </w:rPr>
        <w:t>-</w:t>
      </w:r>
      <w:r w:rsidR="00EF04EA" w:rsidRPr="00BA6224">
        <w:rPr>
          <w:b/>
          <w:bCs/>
          <w:color w:val="007FAB"/>
        </w:rPr>
        <w:t>step</w:t>
      </w:r>
      <w:r w:rsidRPr="00BA6224">
        <w:rPr>
          <w:b/>
          <w:bCs/>
          <w:color w:val="007FAB"/>
        </w:rPr>
        <w:t xml:space="preserve"> approval process?</w:t>
      </w:r>
    </w:p>
    <w:p w14:paraId="45DCFA45" w14:textId="34826DB3" w:rsidR="00274259" w:rsidRDefault="002A1DA1" w:rsidP="006359A9">
      <w:pPr>
        <w:ind w:left="360"/>
      </w:pPr>
      <w:r>
        <w:t xml:space="preserve">There are different requirements for micro-credentials (see </w:t>
      </w:r>
      <w:hyperlink r:id="rId10" w:history="1">
        <w:r w:rsidRPr="00F81D62">
          <w:rPr>
            <w:rStyle w:val="Hyperlink"/>
          </w:rPr>
          <w:t>Micro-credentials funding and fees</w:t>
        </w:r>
      </w:hyperlink>
      <w:r>
        <w:t>).  This guidance does recommend discussing with TEC about funding prior to developing a new MC.</w:t>
      </w:r>
    </w:p>
    <w:p w14:paraId="79206CB1" w14:textId="71AC60A9" w:rsidR="00C111CF" w:rsidRDefault="00981E74" w:rsidP="167FD0CB">
      <w:pPr>
        <w:ind w:left="360"/>
        <w:rPr>
          <w:b/>
          <w:bCs/>
        </w:rPr>
        <w:sectPr w:rsidR="00C111CF">
          <w:pgSz w:w="11906" w:h="16838"/>
          <w:pgMar w:top="1440" w:right="1440" w:bottom="1440" w:left="1440" w:header="708" w:footer="708" w:gutter="0"/>
          <w:cols w:space="708"/>
          <w:docGrid w:linePitch="360"/>
        </w:sectPr>
      </w:pPr>
      <w:r>
        <w:t xml:space="preserve">Noting that </w:t>
      </w:r>
      <w:r w:rsidR="0097142C">
        <w:t xml:space="preserve">NZA approvals have three steps: Step 1 is TEC pre-approval; Step 2 is NZQA programme approval; Step 3 </w:t>
      </w:r>
      <w:r w:rsidR="00B40B84">
        <w:t xml:space="preserve">- </w:t>
      </w:r>
      <w:r w:rsidR="0097142C">
        <w:t>TEC approval (in writing and programme approved)</w:t>
      </w:r>
      <w:r w:rsidR="00B8374F">
        <w:t>.</w:t>
      </w:r>
    </w:p>
    <w:p w14:paraId="05C42B5C" w14:textId="2662631F" w:rsidR="00EC7E66" w:rsidRDefault="00EC7E66" w:rsidP="00EC7E66">
      <w:pPr>
        <w:pStyle w:val="TOCHeading"/>
        <w:rPr>
          <w:b w:val="0"/>
          <w:bCs w:val="0"/>
        </w:rPr>
      </w:pPr>
      <w:r w:rsidRPr="00C111CF">
        <w:rPr>
          <w:b w:val="0"/>
          <w:bCs w:val="0"/>
        </w:rPr>
        <w:lastRenderedPageBreak/>
        <w:t xml:space="preserve">Appendix </w:t>
      </w:r>
      <w:r w:rsidR="007B6FFA">
        <w:rPr>
          <w:b w:val="0"/>
          <w:bCs w:val="0"/>
        </w:rPr>
        <w:t>A</w:t>
      </w:r>
      <w:r w:rsidRPr="00C111CF">
        <w:rPr>
          <w:b w:val="0"/>
          <w:bCs w:val="0"/>
        </w:rPr>
        <w:t xml:space="preserve">: </w:t>
      </w:r>
      <w:r>
        <w:rPr>
          <w:b w:val="0"/>
          <w:bCs w:val="0"/>
        </w:rPr>
        <w:t>Example of the transition inform</w:t>
      </w:r>
      <w:r w:rsidR="0061128E">
        <w:rPr>
          <w:b w:val="0"/>
          <w:bCs w:val="0"/>
        </w:rPr>
        <w:t>a</w:t>
      </w:r>
      <w:r>
        <w:rPr>
          <w:b w:val="0"/>
          <w:bCs w:val="0"/>
        </w:rPr>
        <w:t>tion for new data / validations</w:t>
      </w:r>
    </w:p>
    <w:p w14:paraId="09122414" w14:textId="77777777" w:rsidR="00BD09A9" w:rsidRPr="00A630E0" w:rsidRDefault="00BD09A9" w:rsidP="00BD09A9">
      <w:pPr>
        <w:rPr>
          <w:lang w:eastAsia="en-GB"/>
        </w:rPr>
      </w:pPr>
      <w:r w:rsidRPr="00A630E0">
        <w:rPr>
          <w:b/>
          <w:bCs/>
          <w:lang w:eastAsia="en-GB"/>
        </w:rPr>
        <w:t>New data fields and new validations</w:t>
      </w:r>
    </w:p>
    <w:p w14:paraId="239CBE63" w14:textId="77777777" w:rsidR="00BD09A9" w:rsidRDefault="00BD09A9" w:rsidP="00BD09A9">
      <w:pPr>
        <w:rPr>
          <w:lang w:eastAsia="en-GB"/>
        </w:rPr>
      </w:pPr>
      <w:r w:rsidRPr="00A630E0">
        <w:rPr>
          <w:lang w:eastAsia="en-GB"/>
        </w:rPr>
        <w:t xml:space="preserve">We will provide clear explanations of what will be validated and when. This will detail the differences between </w:t>
      </w:r>
      <w:r w:rsidRPr="00A630E0">
        <w:rPr>
          <w:b/>
          <w:bCs/>
          <w:lang w:eastAsia="en-GB"/>
        </w:rPr>
        <w:t>existing</w:t>
      </w:r>
      <w:r w:rsidRPr="00A630E0">
        <w:rPr>
          <w:lang w:eastAsia="en-GB"/>
        </w:rPr>
        <w:t xml:space="preserve"> (at point of migration) learners and training agreements, and </w:t>
      </w:r>
      <w:r w:rsidRPr="00A630E0">
        <w:rPr>
          <w:b/>
          <w:bCs/>
          <w:lang w:eastAsia="en-GB"/>
        </w:rPr>
        <w:t>new</w:t>
      </w:r>
      <w:r w:rsidRPr="00A630E0">
        <w:rPr>
          <w:lang w:eastAsia="en-GB"/>
        </w:rPr>
        <w:t>.</w:t>
      </w:r>
    </w:p>
    <w:p w14:paraId="51C01C32" w14:textId="09FF6F04" w:rsidR="00EC7E66" w:rsidRPr="00876126" w:rsidRDefault="00BD09A9" w:rsidP="00EC7E66">
      <w:pPr>
        <w:rPr>
          <w:b/>
          <w:i/>
          <w:lang w:eastAsia="en-GB"/>
        </w:rPr>
      </w:pPr>
      <w:r>
        <w:rPr>
          <w:b/>
          <w:bCs/>
          <w:i/>
          <w:iCs/>
          <w:lang w:eastAsia="en-GB"/>
        </w:rPr>
        <w:t xml:space="preserve">Example: </w:t>
      </w:r>
      <w:r w:rsidR="0061128E" w:rsidRPr="00876126">
        <w:rPr>
          <w:b/>
          <w:i/>
          <w:lang w:eastAsia="en-GB"/>
        </w:rPr>
        <w:t xml:space="preserve">Field: Learner - </w:t>
      </w:r>
      <w:r w:rsidRPr="00BD09A9">
        <w:rPr>
          <w:b/>
          <w:bCs/>
          <w:i/>
          <w:iCs/>
          <w:lang w:eastAsia="en-GB"/>
        </w:rPr>
        <w:t>First year of tertiary education</w:t>
      </w:r>
      <w:r w:rsidR="00D123F8">
        <w:rPr>
          <w:rStyle w:val="FootnoteReference"/>
          <w:b/>
          <w:bCs/>
          <w:i/>
          <w:iCs/>
          <w:lang w:eastAsia="en-GB"/>
        </w:rPr>
        <w:footnoteReference w:id="2"/>
      </w:r>
    </w:p>
    <w:p w14:paraId="173D86B1" w14:textId="77C848DA" w:rsidR="00A630E0" w:rsidRPr="00A630E0" w:rsidRDefault="00B97404" w:rsidP="00A630E0">
      <w:pPr>
        <w:rPr>
          <w:lang w:eastAsia="en-GB"/>
        </w:rPr>
      </w:pPr>
      <w:r>
        <w:rPr>
          <w:lang w:eastAsia="en-GB"/>
        </w:rPr>
        <w:t xml:space="preserve">(n.b. development of this validation is in progress, and detail may </w:t>
      </w:r>
      <w:r w:rsidR="009C69A1">
        <w:rPr>
          <w:lang w:eastAsia="en-GB"/>
        </w:rPr>
        <w:t>be refined.)</w:t>
      </w:r>
    </w:p>
    <w:tbl>
      <w:tblPr>
        <w:tblStyle w:val="TableGrid"/>
        <w:tblW w:w="0" w:type="auto"/>
        <w:tblLook w:val="04A0" w:firstRow="1" w:lastRow="0" w:firstColumn="1" w:lastColumn="0" w:noHBand="0" w:noVBand="1"/>
      </w:tblPr>
      <w:tblGrid>
        <w:gridCol w:w="6974"/>
        <w:gridCol w:w="6974"/>
      </w:tblGrid>
      <w:tr w:rsidR="002D5C0F" w14:paraId="36D78DE1" w14:textId="77777777" w:rsidTr="002D5C0F">
        <w:tc>
          <w:tcPr>
            <w:tcW w:w="6974" w:type="dxa"/>
          </w:tcPr>
          <w:p w14:paraId="4463D6AA" w14:textId="45DF5640" w:rsidR="002D5C0F" w:rsidRDefault="002D5C0F" w:rsidP="00A630E0">
            <w:pPr>
              <w:rPr>
                <w:b/>
                <w:bCs/>
                <w:lang w:eastAsia="en-GB"/>
              </w:rPr>
            </w:pPr>
            <w:r w:rsidRPr="00876126">
              <w:rPr>
                <w:b/>
                <w:bCs/>
                <w:lang w:eastAsia="en-GB"/>
              </w:rPr>
              <w:t>When processing a new learner</w:t>
            </w:r>
          </w:p>
        </w:tc>
        <w:tc>
          <w:tcPr>
            <w:tcW w:w="6974" w:type="dxa"/>
          </w:tcPr>
          <w:p w14:paraId="452EFE1E" w14:textId="6953E5E0" w:rsidR="002D5C0F" w:rsidRDefault="002D5C0F" w:rsidP="00A630E0">
            <w:pPr>
              <w:rPr>
                <w:b/>
                <w:bCs/>
                <w:lang w:eastAsia="en-GB"/>
              </w:rPr>
            </w:pPr>
            <w:r>
              <w:rPr>
                <w:b/>
                <w:bCs/>
                <w:lang w:eastAsia="en-GB"/>
              </w:rPr>
              <w:t xml:space="preserve">Existing learners </w:t>
            </w:r>
            <w:r w:rsidRPr="002D5C0F">
              <w:rPr>
                <w:lang w:eastAsia="en-GB"/>
              </w:rPr>
              <w:t>(learners who existed at migration)</w:t>
            </w:r>
          </w:p>
        </w:tc>
      </w:tr>
      <w:tr w:rsidR="002D5C0F" w14:paraId="281B7FAC" w14:textId="77777777" w:rsidTr="002D5C0F">
        <w:tc>
          <w:tcPr>
            <w:tcW w:w="6974" w:type="dxa"/>
          </w:tcPr>
          <w:p w14:paraId="310EC6AD" w14:textId="77777777" w:rsidR="002D5C0F" w:rsidRPr="00876126" w:rsidRDefault="002D5C0F" w:rsidP="002D5C0F">
            <w:pPr>
              <w:rPr>
                <w:u w:val="single"/>
                <w:lang w:eastAsia="en-GB"/>
              </w:rPr>
            </w:pPr>
            <w:r w:rsidRPr="00876126">
              <w:rPr>
                <w:u w:val="single"/>
                <w:lang w:eastAsia="en-GB"/>
              </w:rPr>
              <w:t>Learner file</w:t>
            </w:r>
          </w:p>
          <w:p w14:paraId="1EE898BE" w14:textId="77777777" w:rsidR="002D5C0F" w:rsidRPr="00876126" w:rsidRDefault="002D5C0F" w:rsidP="002D5C0F">
            <w:pPr>
              <w:pStyle w:val="ListParagraph"/>
              <w:numPr>
                <w:ilvl w:val="0"/>
                <w:numId w:val="10"/>
              </w:numPr>
              <w:rPr>
                <w:b/>
                <w:bCs/>
                <w:lang w:eastAsia="en-GB"/>
              </w:rPr>
            </w:pPr>
            <w:r w:rsidRPr="00A630E0">
              <w:rPr>
                <w:lang w:eastAsia="en-GB"/>
              </w:rPr>
              <w:t>If learner is not NZ or Aus citizen</w:t>
            </w:r>
            <w:r>
              <w:rPr>
                <w:lang w:eastAsia="en-GB"/>
              </w:rPr>
              <w:t>, and</w:t>
            </w:r>
          </w:p>
          <w:p w14:paraId="5C38743C" w14:textId="77777777" w:rsidR="002D5C0F" w:rsidRPr="00876126" w:rsidRDefault="002D5C0F" w:rsidP="002D5C0F">
            <w:pPr>
              <w:pStyle w:val="ListParagraph"/>
              <w:numPr>
                <w:ilvl w:val="0"/>
                <w:numId w:val="10"/>
              </w:numPr>
              <w:rPr>
                <w:b/>
                <w:bCs/>
                <w:lang w:eastAsia="en-GB"/>
              </w:rPr>
            </w:pPr>
            <w:r>
              <w:rPr>
                <w:lang w:eastAsia="en-GB"/>
              </w:rPr>
              <w:t xml:space="preserve">If </w:t>
            </w:r>
            <w:r w:rsidRPr="00876126">
              <w:rPr>
                <w:b/>
                <w:bCs/>
                <w:i/>
                <w:iCs/>
                <w:lang w:eastAsia="en-GB"/>
              </w:rPr>
              <w:t>First year of tertiary education</w:t>
            </w:r>
            <w:r>
              <w:rPr>
                <w:lang w:eastAsia="en-GB"/>
              </w:rPr>
              <w:t xml:space="preserve"> is </w:t>
            </w:r>
            <w:r w:rsidRPr="00A630E0">
              <w:rPr>
                <w:lang w:eastAsia="en-GB"/>
              </w:rPr>
              <w:t xml:space="preserve">blank, </w:t>
            </w:r>
            <w:r>
              <w:rPr>
                <w:lang w:eastAsia="en-GB"/>
              </w:rPr>
              <w:t>then</w:t>
            </w:r>
          </w:p>
          <w:p w14:paraId="7CCFF903" w14:textId="77777777" w:rsidR="002D5C0F" w:rsidRPr="00876126" w:rsidRDefault="002D5C0F" w:rsidP="002D5C0F">
            <w:pPr>
              <w:pStyle w:val="ListParagraph"/>
              <w:numPr>
                <w:ilvl w:val="1"/>
                <w:numId w:val="10"/>
              </w:numPr>
              <w:rPr>
                <w:b/>
                <w:bCs/>
                <w:lang w:eastAsia="en-GB"/>
              </w:rPr>
            </w:pPr>
            <w:r w:rsidRPr="00A630E0">
              <w:rPr>
                <w:lang w:eastAsia="en-GB"/>
              </w:rPr>
              <w:t>no validation error will occur.</w:t>
            </w:r>
          </w:p>
          <w:p w14:paraId="066AC76F" w14:textId="77777777" w:rsidR="002D5C0F" w:rsidRDefault="002D5C0F" w:rsidP="00A630E0">
            <w:pPr>
              <w:rPr>
                <w:b/>
                <w:bCs/>
                <w:lang w:eastAsia="en-GB"/>
              </w:rPr>
            </w:pPr>
          </w:p>
        </w:tc>
        <w:tc>
          <w:tcPr>
            <w:tcW w:w="6974" w:type="dxa"/>
          </w:tcPr>
          <w:p w14:paraId="6919B447" w14:textId="77777777" w:rsidR="002D5C0F" w:rsidRPr="00876126" w:rsidRDefault="002D5C0F" w:rsidP="002D5C0F">
            <w:pPr>
              <w:rPr>
                <w:u w:val="single"/>
                <w:lang w:eastAsia="en-GB"/>
              </w:rPr>
            </w:pPr>
            <w:r w:rsidRPr="00876126">
              <w:rPr>
                <w:u w:val="single"/>
                <w:lang w:eastAsia="en-GB"/>
              </w:rPr>
              <w:t>Learner file</w:t>
            </w:r>
          </w:p>
          <w:p w14:paraId="787D023D" w14:textId="77777777" w:rsidR="002D5C0F" w:rsidRDefault="002D5C0F" w:rsidP="00A630E0">
            <w:pPr>
              <w:rPr>
                <w:lang w:eastAsia="en-GB"/>
              </w:rPr>
            </w:pPr>
            <w:r w:rsidRPr="002D5C0F">
              <w:rPr>
                <w:lang w:eastAsia="en-GB"/>
              </w:rPr>
              <w:t xml:space="preserve">If you update the learner details, the system will </w:t>
            </w:r>
            <w:r w:rsidRPr="002D5C0F">
              <w:rPr>
                <w:b/>
                <w:bCs/>
                <w:lang w:eastAsia="en-GB"/>
              </w:rPr>
              <w:t>not</w:t>
            </w:r>
            <w:r w:rsidRPr="002D5C0F">
              <w:rPr>
                <w:lang w:eastAsia="en-GB"/>
              </w:rPr>
              <w:t xml:space="preserve"> enforce</w:t>
            </w:r>
            <w:r>
              <w:rPr>
                <w:lang w:eastAsia="en-GB"/>
              </w:rPr>
              <w:t xml:space="preserve"> data for new fields. This includes:</w:t>
            </w:r>
          </w:p>
          <w:p w14:paraId="3B9AB862" w14:textId="77777777" w:rsidR="002D5C0F" w:rsidRDefault="002D5C0F" w:rsidP="002D5C0F">
            <w:pPr>
              <w:pStyle w:val="ListParagraph"/>
              <w:numPr>
                <w:ilvl w:val="0"/>
                <w:numId w:val="10"/>
              </w:numPr>
              <w:rPr>
                <w:lang w:eastAsia="en-GB"/>
              </w:rPr>
            </w:pPr>
            <w:r w:rsidRPr="00A17E5E">
              <w:rPr>
                <w:lang w:eastAsia="en-GB"/>
              </w:rPr>
              <w:t>First Year of Tertiary Education</w:t>
            </w:r>
            <w:r>
              <w:rPr>
                <w:lang w:eastAsia="en-GB"/>
              </w:rPr>
              <w:t>, and</w:t>
            </w:r>
          </w:p>
          <w:p w14:paraId="6D9B9104" w14:textId="77777777" w:rsidR="002D5C0F" w:rsidRDefault="002D5C0F" w:rsidP="002D5C0F">
            <w:pPr>
              <w:pStyle w:val="ListParagraph"/>
              <w:numPr>
                <w:ilvl w:val="0"/>
                <w:numId w:val="10"/>
              </w:numPr>
              <w:rPr>
                <w:lang w:eastAsia="en-GB"/>
              </w:rPr>
            </w:pPr>
            <w:bookmarkStart w:id="0" w:name="_Hlk136607241"/>
            <w:r w:rsidRPr="00EF7AAC">
              <w:rPr>
                <w:lang w:eastAsia="en-GB"/>
              </w:rPr>
              <w:t>Country of Citizenship</w:t>
            </w:r>
            <w:bookmarkEnd w:id="0"/>
          </w:p>
          <w:p w14:paraId="4971A6DE" w14:textId="42C1E586" w:rsidR="00A659AB" w:rsidRPr="002D5C0F" w:rsidRDefault="00A659AB" w:rsidP="00A659AB">
            <w:pPr>
              <w:rPr>
                <w:lang w:eastAsia="en-GB"/>
              </w:rPr>
            </w:pPr>
            <w:r w:rsidRPr="00A659AB">
              <w:rPr>
                <w:b/>
                <w:bCs/>
                <w:lang w:eastAsia="en-GB"/>
              </w:rPr>
              <w:t>Unless</w:t>
            </w:r>
            <w:r>
              <w:rPr>
                <w:lang w:eastAsia="en-GB"/>
              </w:rPr>
              <w:t xml:space="preserve"> you set-up a new Training Agreement and Enrolments.</w:t>
            </w:r>
          </w:p>
        </w:tc>
      </w:tr>
      <w:tr w:rsidR="002D5C0F" w14:paraId="1ECF35F4" w14:textId="77777777" w:rsidTr="002D5C0F">
        <w:tc>
          <w:tcPr>
            <w:tcW w:w="6974" w:type="dxa"/>
          </w:tcPr>
          <w:p w14:paraId="26726552" w14:textId="01838766" w:rsidR="002D5C0F" w:rsidRPr="00876126" w:rsidRDefault="002D5C0F" w:rsidP="002D5C0F">
            <w:pPr>
              <w:rPr>
                <w:u w:val="single"/>
                <w:lang w:eastAsia="en-GB"/>
              </w:rPr>
            </w:pPr>
            <w:r>
              <w:rPr>
                <w:u w:val="single"/>
                <w:lang w:eastAsia="en-GB"/>
              </w:rPr>
              <w:t>Enrolment</w:t>
            </w:r>
            <w:r w:rsidRPr="00876126">
              <w:rPr>
                <w:lang w:eastAsia="en-GB"/>
              </w:rPr>
              <w:t xml:space="preserve"> (this applies to both new learners and </w:t>
            </w:r>
            <w:r w:rsidRPr="00876126">
              <w:rPr>
                <w:i/>
                <w:iCs/>
                <w:lang w:eastAsia="en-GB"/>
              </w:rPr>
              <w:t>existing</w:t>
            </w:r>
            <w:r w:rsidRPr="00876126">
              <w:rPr>
                <w:lang w:eastAsia="en-GB"/>
              </w:rPr>
              <w:t xml:space="preserve"> learners with a </w:t>
            </w:r>
            <w:r w:rsidRPr="00876126">
              <w:rPr>
                <w:b/>
                <w:bCs/>
                <w:lang w:eastAsia="en-GB"/>
              </w:rPr>
              <w:t>new</w:t>
            </w:r>
            <w:r w:rsidRPr="00876126">
              <w:rPr>
                <w:lang w:eastAsia="en-GB"/>
              </w:rPr>
              <w:t xml:space="preserve"> Training Agreement)</w:t>
            </w:r>
          </w:p>
          <w:p w14:paraId="0DA5B935" w14:textId="77777777" w:rsidR="002D5C0F" w:rsidRDefault="002D5C0F" w:rsidP="002D5C0F">
            <w:pPr>
              <w:pStyle w:val="ListParagraph"/>
              <w:numPr>
                <w:ilvl w:val="0"/>
                <w:numId w:val="11"/>
              </w:numPr>
              <w:rPr>
                <w:lang w:eastAsia="en-GB"/>
              </w:rPr>
            </w:pPr>
            <w:r w:rsidRPr="00A630E0">
              <w:rPr>
                <w:lang w:eastAsia="en-GB"/>
              </w:rPr>
              <w:t>If learner is not NZ or Aus citizen</w:t>
            </w:r>
            <w:r>
              <w:rPr>
                <w:lang w:eastAsia="en-GB"/>
              </w:rPr>
              <w:t xml:space="preserve"> (from the learner files), and</w:t>
            </w:r>
          </w:p>
          <w:p w14:paraId="29BEE57F" w14:textId="77777777" w:rsidR="002D5C0F" w:rsidRDefault="002D5C0F" w:rsidP="002D5C0F">
            <w:pPr>
              <w:pStyle w:val="ListParagraph"/>
              <w:numPr>
                <w:ilvl w:val="0"/>
                <w:numId w:val="11"/>
              </w:numPr>
              <w:rPr>
                <w:lang w:eastAsia="en-GB"/>
              </w:rPr>
            </w:pPr>
            <w:r>
              <w:rPr>
                <w:lang w:eastAsia="en-GB"/>
              </w:rPr>
              <w:t xml:space="preserve">If learner is </w:t>
            </w:r>
            <w:r w:rsidRPr="00A630E0">
              <w:rPr>
                <w:lang w:eastAsia="en-GB"/>
              </w:rPr>
              <w:t>NZ</w:t>
            </w:r>
            <w:r>
              <w:rPr>
                <w:lang w:eastAsia="en-GB"/>
              </w:rPr>
              <w:t xml:space="preserve"> or </w:t>
            </w:r>
            <w:r w:rsidRPr="00A630E0">
              <w:rPr>
                <w:lang w:eastAsia="en-GB"/>
              </w:rPr>
              <w:t>Aus resident</w:t>
            </w:r>
            <w:r>
              <w:rPr>
                <w:lang w:eastAsia="en-GB"/>
              </w:rPr>
              <w:t>, then</w:t>
            </w:r>
          </w:p>
          <w:p w14:paraId="1B76F84E" w14:textId="754FF776" w:rsidR="002D5C0F" w:rsidRPr="00A630E0" w:rsidRDefault="002D5C0F" w:rsidP="002D5C0F">
            <w:pPr>
              <w:pStyle w:val="ListParagraph"/>
              <w:numPr>
                <w:ilvl w:val="1"/>
                <w:numId w:val="11"/>
              </w:numPr>
              <w:rPr>
                <w:lang w:eastAsia="en-GB"/>
              </w:rPr>
            </w:pPr>
            <w:r w:rsidRPr="00A630E0">
              <w:rPr>
                <w:lang w:eastAsia="en-GB"/>
              </w:rPr>
              <w:t xml:space="preserve">system will </w:t>
            </w:r>
            <w:r>
              <w:rPr>
                <w:lang w:eastAsia="en-GB"/>
              </w:rPr>
              <w:t xml:space="preserve">generate </w:t>
            </w:r>
            <w:r w:rsidRPr="00A630E0">
              <w:rPr>
                <w:lang w:eastAsia="en-GB"/>
              </w:rPr>
              <w:t xml:space="preserve">error </w:t>
            </w:r>
            <w:r w:rsidR="00A659AB">
              <w:rPr>
                <w:lang w:eastAsia="en-GB"/>
              </w:rPr>
              <w:t xml:space="preserve">requiring submission of </w:t>
            </w:r>
            <w:r w:rsidRPr="00A630E0">
              <w:rPr>
                <w:lang w:eastAsia="en-GB"/>
              </w:rPr>
              <w:t xml:space="preserve"> </w:t>
            </w:r>
            <w:r w:rsidR="00A659AB" w:rsidRPr="00876126">
              <w:rPr>
                <w:b/>
                <w:bCs/>
                <w:i/>
                <w:iCs/>
                <w:lang w:eastAsia="en-GB"/>
              </w:rPr>
              <w:t>First year of tertiary education</w:t>
            </w:r>
            <w:r w:rsidRPr="00A630E0">
              <w:rPr>
                <w:lang w:eastAsia="en-GB"/>
              </w:rPr>
              <w:t xml:space="preserve"> in Learner file.</w:t>
            </w:r>
          </w:p>
          <w:p w14:paraId="41FDA7FA" w14:textId="77777777" w:rsidR="002D5C0F" w:rsidRDefault="002D5C0F" w:rsidP="00A630E0">
            <w:pPr>
              <w:rPr>
                <w:b/>
                <w:bCs/>
                <w:lang w:eastAsia="en-GB"/>
              </w:rPr>
            </w:pPr>
          </w:p>
        </w:tc>
        <w:tc>
          <w:tcPr>
            <w:tcW w:w="6974" w:type="dxa"/>
          </w:tcPr>
          <w:p w14:paraId="7BF3E51E" w14:textId="58EF5974" w:rsidR="002D5C0F" w:rsidRPr="00876126" w:rsidRDefault="002D5C0F" w:rsidP="002D5C0F">
            <w:pPr>
              <w:rPr>
                <w:u w:val="single"/>
                <w:lang w:eastAsia="en-GB"/>
              </w:rPr>
            </w:pPr>
            <w:r>
              <w:rPr>
                <w:u w:val="single"/>
                <w:lang w:eastAsia="en-GB"/>
              </w:rPr>
              <w:t>Training Agreement</w:t>
            </w:r>
          </w:p>
          <w:p w14:paraId="56A9BBF0" w14:textId="59522CDE" w:rsidR="00A659AB" w:rsidRDefault="002D5C0F" w:rsidP="00A659AB">
            <w:pPr>
              <w:pStyle w:val="ListParagraph"/>
              <w:numPr>
                <w:ilvl w:val="0"/>
                <w:numId w:val="12"/>
              </w:numPr>
              <w:rPr>
                <w:lang w:eastAsia="en-GB"/>
              </w:rPr>
            </w:pPr>
            <w:r w:rsidRPr="002D5C0F">
              <w:rPr>
                <w:lang w:eastAsia="en-GB"/>
              </w:rPr>
              <w:t xml:space="preserve">If you </w:t>
            </w:r>
            <w:r w:rsidRPr="00A659AB">
              <w:rPr>
                <w:b/>
                <w:bCs/>
                <w:lang w:eastAsia="en-GB"/>
              </w:rPr>
              <w:t>update</w:t>
            </w:r>
            <w:r w:rsidRPr="002D5C0F">
              <w:rPr>
                <w:lang w:eastAsia="en-GB"/>
              </w:rPr>
              <w:t xml:space="preserve"> </w:t>
            </w:r>
            <w:r>
              <w:rPr>
                <w:lang w:eastAsia="en-GB"/>
              </w:rPr>
              <w:t xml:space="preserve">an existing </w:t>
            </w:r>
            <w:r w:rsidR="00A659AB">
              <w:rPr>
                <w:lang w:eastAsia="en-GB"/>
              </w:rPr>
              <w:t>T</w:t>
            </w:r>
            <w:r>
              <w:rPr>
                <w:lang w:eastAsia="en-GB"/>
              </w:rPr>
              <w:t xml:space="preserve">raining </w:t>
            </w:r>
            <w:r w:rsidR="00A659AB">
              <w:rPr>
                <w:lang w:eastAsia="en-GB"/>
              </w:rPr>
              <w:t>A</w:t>
            </w:r>
            <w:r>
              <w:rPr>
                <w:lang w:eastAsia="en-GB"/>
              </w:rPr>
              <w:t>greement</w:t>
            </w:r>
            <w:r w:rsidRPr="002D5C0F">
              <w:rPr>
                <w:lang w:eastAsia="en-GB"/>
              </w:rPr>
              <w:t xml:space="preserve">, the system will </w:t>
            </w:r>
            <w:r w:rsidRPr="00A659AB">
              <w:rPr>
                <w:b/>
                <w:bCs/>
                <w:lang w:eastAsia="en-GB"/>
              </w:rPr>
              <w:t>not</w:t>
            </w:r>
            <w:r w:rsidRPr="002D5C0F">
              <w:rPr>
                <w:lang w:eastAsia="en-GB"/>
              </w:rPr>
              <w:t xml:space="preserve"> enforce</w:t>
            </w:r>
            <w:r>
              <w:rPr>
                <w:lang w:eastAsia="en-GB"/>
              </w:rPr>
              <w:t xml:space="preserve"> data for new fields. </w:t>
            </w:r>
          </w:p>
          <w:p w14:paraId="7A226404" w14:textId="53422C41" w:rsidR="00A659AB" w:rsidRDefault="00A659AB" w:rsidP="00A659AB">
            <w:pPr>
              <w:pStyle w:val="ListParagraph"/>
              <w:numPr>
                <w:ilvl w:val="0"/>
                <w:numId w:val="12"/>
              </w:numPr>
              <w:rPr>
                <w:lang w:eastAsia="en-GB"/>
              </w:rPr>
            </w:pPr>
            <w:r>
              <w:rPr>
                <w:lang w:eastAsia="en-GB"/>
              </w:rPr>
              <w:t xml:space="preserve">If you create a new Training Agreement for an existing learner, the system </w:t>
            </w:r>
            <w:r w:rsidRPr="00A659AB">
              <w:rPr>
                <w:b/>
                <w:bCs/>
                <w:lang w:eastAsia="en-GB"/>
              </w:rPr>
              <w:t>will</w:t>
            </w:r>
            <w:r>
              <w:rPr>
                <w:lang w:eastAsia="en-GB"/>
              </w:rPr>
              <w:t xml:space="preserve"> enforce the new fields.</w:t>
            </w:r>
          </w:p>
          <w:p w14:paraId="75E69B4E" w14:textId="77777777" w:rsidR="00A659AB" w:rsidRDefault="00A659AB" w:rsidP="00A659AB">
            <w:pPr>
              <w:rPr>
                <w:b/>
                <w:bCs/>
                <w:lang w:eastAsia="en-GB"/>
              </w:rPr>
            </w:pPr>
          </w:p>
          <w:p w14:paraId="11C14506" w14:textId="22F4F2AA" w:rsidR="00A659AB" w:rsidRPr="00A659AB" w:rsidRDefault="00A659AB" w:rsidP="00A659AB">
            <w:pPr>
              <w:rPr>
                <w:u w:val="single"/>
                <w:lang w:eastAsia="en-GB"/>
              </w:rPr>
            </w:pPr>
            <w:r w:rsidRPr="00A659AB">
              <w:rPr>
                <w:u w:val="single"/>
                <w:lang w:eastAsia="en-GB"/>
              </w:rPr>
              <w:t>Enrolment</w:t>
            </w:r>
          </w:p>
          <w:p w14:paraId="7058A566" w14:textId="7C124F29" w:rsidR="00A659AB" w:rsidRDefault="00A659AB" w:rsidP="00A659AB">
            <w:pPr>
              <w:pStyle w:val="ListParagraph"/>
              <w:numPr>
                <w:ilvl w:val="0"/>
                <w:numId w:val="12"/>
              </w:numPr>
              <w:rPr>
                <w:lang w:eastAsia="en-GB"/>
              </w:rPr>
            </w:pPr>
            <w:r w:rsidRPr="002D5C0F">
              <w:rPr>
                <w:lang w:eastAsia="en-GB"/>
              </w:rPr>
              <w:t xml:space="preserve">If you </w:t>
            </w:r>
            <w:r w:rsidRPr="00A659AB">
              <w:rPr>
                <w:b/>
                <w:bCs/>
                <w:lang w:eastAsia="en-GB"/>
              </w:rPr>
              <w:t>update</w:t>
            </w:r>
            <w:r w:rsidRPr="002D5C0F">
              <w:rPr>
                <w:lang w:eastAsia="en-GB"/>
              </w:rPr>
              <w:t xml:space="preserve"> </w:t>
            </w:r>
            <w:r>
              <w:rPr>
                <w:lang w:eastAsia="en-GB"/>
              </w:rPr>
              <w:t>an existing Enrolment</w:t>
            </w:r>
            <w:r w:rsidRPr="002D5C0F">
              <w:rPr>
                <w:lang w:eastAsia="en-GB"/>
              </w:rPr>
              <w:t xml:space="preserve">, the system will </w:t>
            </w:r>
            <w:r w:rsidRPr="00A659AB">
              <w:rPr>
                <w:b/>
                <w:bCs/>
                <w:lang w:eastAsia="en-GB"/>
              </w:rPr>
              <w:t>not</w:t>
            </w:r>
            <w:r w:rsidRPr="002D5C0F">
              <w:rPr>
                <w:lang w:eastAsia="en-GB"/>
              </w:rPr>
              <w:t xml:space="preserve"> enforce</w:t>
            </w:r>
            <w:r>
              <w:rPr>
                <w:lang w:eastAsia="en-GB"/>
              </w:rPr>
              <w:t xml:space="preserve"> data for new fields. </w:t>
            </w:r>
          </w:p>
          <w:p w14:paraId="7AFFBA8F" w14:textId="4DE3ECC7" w:rsidR="00A659AB" w:rsidRPr="00A659AB" w:rsidRDefault="00A659AB" w:rsidP="00A659AB">
            <w:pPr>
              <w:pStyle w:val="ListParagraph"/>
              <w:numPr>
                <w:ilvl w:val="0"/>
                <w:numId w:val="12"/>
              </w:numPr>
              <w:rPr>
                <w:b/>
                <w:bCs/>
                <w:lang w:eastAsia="en-GB"/>
              </w:rPr>
            </w:pPr>
            <w:r>
              <w:rPr>
                <w:lang w:eastAsia="en-GB"/>
              </w:rPr>
              <w:t xml:space="preserve">If you create a new Enrolment for an existing learner, the system </w:t>
            </w:r>
            <w:r w:rsidRPr="00A659AB">
              <w:rPr>
                <w:b/>
                <w:bCs/>
                <w:lang w:eastAsia="en-GB"/>
              </w:rPr>
              <w:t>will</w:t>
            </w:r>
            <w:r>
              <w:rPr>
                <w:lang w:eastAsia="en-GB"/>
              </w:rPr>
              <w:t xml:space="preserve"> enforce the new fields.</w:t>
            </w:r>
          </w:p>
          <w:p w14:paraId="3B21E807" w14:textId="44E9812C" w:rsidR="002D5C0F" w:rsidRDefault="002D5C0F" w:rsidP="002D5C0F">
            <w:pPr>
              <w:rPr>
                <w:b/>
                <w:bCs/>
                <w:lang w:eastAsia="en-GB"/>
              </w:rPr>
            </w:pPr>
          </w:p>
        </w:tc>
      </w:tr>
    </w:tbl>
    <w:p w14:paraId="3D34951F" w14:textId="3D56BEF7" w:rsidR="00A659AB" w:rsidRPr="00A659AB" w:rsidRDefault="00A659AB" w:rsidP="00A630E0">
      <w:pPr>
        <w:rPr>
          <w:b/>
          <w:bCs/>
          <w:i/>
          <w:iCs/>
          <w:lang w:eastAsia="en-GB"/>
        </w:rPr>
      </w:pPr>
      <w:r w:rsidRPr="00A659AB">
        <w:rPr>
          <w:b/>
          <w:bCs/>
          <w:i/>
          <w:iCs/>
          <w:lang w:eastAsia="en-GB"/>
        </w:rPr>
        <w:lastRenderedPageBreak/>
        <w:t xml:space="preserve">Example: </w:t>
      </w:r>
      <w:r w:rsidR="00A630E0" w:rsidRPr="00A659AB">
        <w:rPr>
          <w:b/>
          <w:i/>
          <w:lang w:eastAsia="en-GB"/>
        </w:rPr>
        <w:t xml:space="preserve">Regarding </w:t>
      </w:r>
      <w:r w:rsidRPr="00A659AB">
        <w:rPr>
          <w:b/>
          <w:bCs/>
          <w:i/>
          <w:iCs/>
          <w:lang w:eastAsia="en-GB"/>
        </w:rPr>
        <w:t>Accredited Employer Work Visa (</w:t>
      </w:r>
      <w:r w:rsidR="00A630E0" w:rsidRPr="00A659AB">
        <w:rPr>
          <w:b/>
          <w:i/>
          <w:lang w:eastAsia="en-GB"/>
        </w:rPr>
        <w:t>AEWV</w:t>
      </w:r>
      <w:r w:rsidRPr="00A659AB">
        <w:rPr>
          <w:b/>
          <w:bCs/>
          <w:i/>
          <w:iCs/>
          <w:lang w:eastAsia="en-GB"/>
        </w:rPr>
        <w:t>)</w:t>
      </w:r>
      <w:r w:rsidR="00A630E0" w:rsidRPr="00A659AB">
        <w:rPr>
          <w:b/>
          <w:bCs/>
          <w:i/>
          <w:iCs/>
          <w:lang w:eastAsia="en-GB"/>
        </w:rPr>
        <w:t xml:space="preserve"> learners</w:t>
      </w:r>
      <w:r w:rsidRPr="00A659AB">
        <w:rPr>
          <w:b/>
          <w:bCs/>
          <w:i/>
          <w:iCs/>
          <w:lang w:eastAsia="en-GB"/>
        </w:rPr>
        <w:t xml:space="preserve"> – data migration and new learners</w:t>
      </w:r>
    </w:p>
    <w:p w14:paraId="50E24477" w14:textId="428C2EF2" w:rsidR="00A630E0" w:rsidRPr="00A630E0" w:rsidRDefault="00A659AB" w:rsidP="00A630E0">
      <w:pPr>
        <w:rPr>
          <w:lang w:eastAsia="en-GB"/>
        </w:rPr>
      </w:pPr>
      <w:r>
        <w:rPr>
          <w:lang w:eastAsia="en-GB"/>
        </w:rPr>
        <w:t>These learners are</w:t>
      </w:r>
      <w:r w:rsidR="00A630E0" w:rsidRPr="00A630E0">
        <w:rPr>
          <w:lang w:eastAsia="en-GB"/>
        </w:rPr>
        <w:t xml:space="preserve"> domestic for funding purposes, providing </w:t>
      </w:r>
      <w:r>
        <w:rPr>
          <w:lang w:eastAsia="en-GB"/>
        </w:rPr>
        <w:t>they are enrolled</w:t>
      </w:r>
      <w:r w:rsidR="00A630E0" w:rsidRPr="00A630E0">
        <w:rPr>
          <w:lang w:eastAsia="en-GB"/>
        </w:rPr>
        <w:t xml:space="preserve"> in AEWV programmes</w:t>
      </w:r>
      <w:r>
        <w:rPr>
          <w:lang w:eastAsia="en-GB"/>
        </w:rPr>
        <w:t>.</w:t>
      </w:r>
    </w:p>
    <w:p w14:paraId="568C0254" w14:textId="739277BC" w:rsidR="00A659AB" w:rsidRPr="00A659AB" w:rsidRDefault="00A659AB" w:rsidP="00A630E0">
      <w:pPr>
        <w:rPr>
          <w:b/>
          <w:bCs/>
          <w:lang w:eastAsia="en-GB"/>
        </w:rPr>
      </w:pPr>
      <w:r w:rsidRPr="00A659AB">
        <w:rPr>
          <w:b/>
          <w:bCs/>
          <w:lang w:eastAsia="en-GB"/>
        </w:rPr>
        <w:t>Data migration</w:t>
      </w:r>
    </w:p>
    <w:p w14:paraId="0AD08818" w14:textId="77777777" w:rsidR="00A659AB" w:rsidRDefault="00A630E0" w:rsidP="00A630E0">
      <w:pPr>
        <w:numPr>
          <w:ilvl w:val="0"/>
          <w:numId w:val="9"/>
        </w:numPr>
        <w:rPr>
          <w:lang w:eastAsia="en-GB"/>
        </w:rPr>
      </w:pPr>
      <w:r w:rsidRPr="00A630E0">
        <w:rPr>
          <w:lang w:eastAsia="en-GB"/>
        </w:rPr>
        <w:t xml:space="preserve">There is a periodic data check </w:t>
      </w:r>
      <w:r w:rsidR="00A659AB">
        <w:rPr>
          <w:lang w:eastAsia="en-GB"/>
        </w:rPr>
        <w:t>run by TEC and provided to you;</w:t>
      </w:r>
    </w:p>
    <w:p w14:paraId="136965EB" w14:textId="11933EE7" w:rsidR="00A630E0" w:rsidRPr="00A630E0" w:rsidRDefault="00A659AB" w:rsidP="00A659AB">
      <w:pPr>
        <w:numPr>
          <w:ilvl w:val="1"/>
          <w:numId w:val="9"/>
        </w:numPr>
        <w:rPr>
          <w:lang w:eastAsia="en-GB"/>
        </w:rPr>
      </w:pPr>
      <w:r>
        <w:rPr>
          <w:lang w:eastAsia="en-GB"/>
        </w:rPr>
        <w:t xml:space="preserve">This exception report </w:t>
      </w:r>
      <w:r w:rsidR="00A630E0" w:rsidRPr="00A630E0">
        <w:rPr>
          <w:lang w:eastAsia="en-GB"/>
        </w:rPr>
        <w:t xml:space="preserve">mainly results in </w:t>
      </w:r>
      <w:r>
        <w:rPr>
          <w:lang w:eastAsia="en-GB"/>
        </w:rPr>
        <w:t xml:space="preserve">TEO’s updating information in the </w:t>
      </w:r>
      <w:r w:rsidR="00A630E0" w:rsidRPr="00A630E0">
        <w:rPr>
          <w:lang w:eastAsia="en-GB"/>
        </w:rPr>
        <w:t>NSI but could also result in learners being removed from the ITR data</w:t>
      </w:r>
      <w:r>
        <w:rPr>
          <w:lang w:eastAsia="en-GB"/>
        </w:rPr>
        <w:t>.</w:t>
      </w:r>
    </w:p>
    <w:p w14:paraId="4D77B64C" w14:textId="43E8DD6D" w:rsidR="00A630E0" w:rsidRPr="00A630E0" w:rsidRDefault="00A630E0" w:rsidP="00A630E0">
      <w:pPr>
        <w:numPr>
          <w:ilvl w:val="0"/>
          <w:numId w:val="9"/>
        </w:numPr>
        <w:rPr>
          <w:lang w:eastAsia="en-GB"/>
        </w:rPr>
      </w:pPr>
      <w:r w:rsidRPr="00A630E0">
        <w:rPr>
          <w:lang w:eastAsia="en-GB"/>
        </w:rPr>
        <w:t>This was last provided to you on 25 Feb</w:t>
      </w:r>
      <w:r w:rsidR="00A659AB">
        <w:rPr>
          <w:lang w:eastAsia="en-GB"/>
        </w:rPr>
        <w:t>ruary</w:t>
      </w:r>
      <w:r w:rsidRPr="00A630E0">
        <w:rPr>
          <w:lang w:eastAsia="en-GB"/>
        </w:rPr>
        <w:t xml:space="preserve"> for the final 2024 data (in DXP </w:t>
      </w:r>
      <w:proofErr w:type="spellStart"/>
      <w:r w:rsidRPr="00A630E0">
        <w:rPr>
          <w:lang w:eastAsia="en-GB"/>
        </w:rPr>
        <w:t>Ngā</w:t>
      </w:r>
      <w:proofErr w:type="spellEnd"/>
      <w:r w:rsidRPr="00A630E0">
        <w:rPr>
          <w:lang w:eastAsia="en-GB"/>
        </w:rPr>
        <w:t xml:space="preserve"> Kete documents; “Work-based learner residency </w:t>
      </w:r>
      <w:proofErr w:type="spellStart"/>
      <w:r w:rsidRPr="00A630E0">
        <w:rPr>
          <w:lang w:eastAsia="en-GB"/>
        </w:rPr>
        <w:t>stats</w:t>
      </w:r>
      <w:proofErr w:type="spellEnd"/>
      <w:r w:rsidRPr="00A630E0">
        <w:rPr>
          <w:lang w:eastAsia="en-GB"/>
        </w:rPr>
        <w:t xml:space="preserve"> for review”)</w:t>
      </w:r>
    </w:p>
    <w:p w14:paraId="049957DB" w14:textId="77777777" w:rsidR="00A630E0" w:rsidRPr="00A630E0" w:rsidRDefault="00A630E0" w:rsidP="00A630E0">
      <w:pPr>
        <w:numPr>
          <w:ilvl w:val="0"/>
          <w:numId w:val="9"/>
        </w:numPr>
        <w:rPr>
          <w:lang w:eastAsia="en-GB"/>
        </w:rPr>
      </w:pPr>
      <w:r w:rsidRPr="00A630E0">
        <w:rPr>
          <w:lang w:eastAsia="en-GB"/>
        </w:rPr>
        <w:t>We will ask for this to be run again quite soon, and then again before cut-over to tidy-up all the ITR learners prior to migration.</w:t>
      </w:r>
    </w:p>
    <w:p w14:paraId="595750D0" w14:textId="74BBE0A5" w:rsidR="00CC2322" w:rsidRDefault="00A659AB" w:rsidP="006359A9">
      <w:pPr>
        <w:numPr>
          <w:ilvl w:val="1"/>
          <w:numId w:val="9"/>
        </w:numPr>
        <w:rPr>
          <w:lang w:eastAsia="en-GB"/>
        </w:rPr>
      </w:pPr>
      <w:r>
        <w:rPr>
          <w:lang w:eastAsia="en-GB"/>
        </w:rPr>
        <w:t>This will ensure that all learners in the system at the point of migration have been reviewed, and their eligibility for TEC funding has been confirmed.</w:t>
      </w:r>
    </w:p>
    <w:p w14:paraId="0B49F37D" w14:textId="77777777" w:rsidR="00B65072" w:rsidRDefault="00A659AB" w:rsidP="00C111CF">
      <w:pPr>
        <w:rPr>
          <w:lang w:eastAsia="en-GB"/>
        </w:rPr>
      </w:pPr>
      <w:r>
        <w:rPr>
          <w:lang w:eastAsia="en-GB"/>
        </w:rPr>
        <w:t xml:space="preserve">This enables us to </w:t>
      </w:r>
      <w:r w:rsidRPr="00A659AB">
        <w:rPr>
          <w:b/>
          <w:bCs/>
          <w:lang w:eastAsia="en-GB"/>
        </w:rPr>
        <w:t>not</w:t>
      </w:r>
      <w:r>
        <w:rPr>
          <w:lang w:eastAsia="en-GB"/>
        </w:rPr>
        <w:t xml:space="preserve"> require backfilling of Citizenship &amp; Residential Status for existing learners. </w:t>
      </w:r>
    </w:p>
    <w:p w14:paraId="0B6B849B" w14:textId="26F7CB96" w:rsidR="00CC2322" w:rsidRPr="00C111CF" w:rsidRDefault="00A659AB" w:rsidP="00C111CF">
      <w:pPr>
        <w:rPr>
          <w:lang w:eastAsia="en-GB"/>
        </w:rPr>
      </w:pPr>
      <w:r>
        <w:rPr>
          <w:lang w:eastAsia="en-GB"/>
        </w:rPr>
        <w:t xml:space="preserve">However, these fields are mandatory for new learners, and </w:t>
      </w:r>
      <w:r w:rsidR="00B65072">
        <w:rPr>
          <w:lang w:eastAsia="en-GB"/>
        </w:rPr>
        <w:t>if there is a new Training Agreement for an existing learner.</w:t>
      </w:r>
    </w:p>
    <w:sectPr w:rsidR="00CC2322" w:rsidRPr="00C111CF" w:rsidSect="00E03F3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EEBC" w14:textId="77777777" w:rsidR="00DE569E" w:rsidRDefault="00DE569E">
      <w:pPr>
        <w:spacing w:after="0" w:line="240" w:lineRule="auto"/>
      </w:pPr>
      <w:r>
        <w:separator/>
      </w:r>
    </w:p>
  </w:endnote>
  <w:endnote w:type="continuationSeparator" w:id="0">
    <w:p w14:paraId="7C9E522F" w14:textId="77777777" w:rsidR="00DE569E" w:rsidRDefault="00DE569E">
      <w:pPr>
        <w:spacing w:after="0" w:line="240" w:lineRule="auto"/>
      </w:pPr>
      <w:r>
        <w:continuationSeparator/>
      </w:r>
    </w:p>
  </w:endnote>
  <w:endnote w:type="continuationNotice" w:id="1">
    <w:p w14:paraId="51FCAC02" w14:textId="77777777" w:rsidR="00DE569E" w:rsidRDefault="00DE5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7EAA7" w14:textId="77777777" w:rsidR="00DE569E" w:rsidRDefault="00DE569E">
      <w:pPr>
        <w:spacing w:after="0" w:line="240" w:lineRule="auto"/>
      </w:pPr>
      <w:r>
        <w:separator/>
      </w:r>
    </w:p>
  </w:footnote>
  <w:footnote w:type="continuationSeparator" w:id="0">
    <w:p w14:paraId="462F7B97" w14:textId="77777777" w:rsidR="00DE569E" w:rsidRDefault="00DE569E">
      <w:pPr>
        <w:spacing w:after="0" w:line="240" w:lineRule="auto"/>
      </w:pPr>
      <w:r>
        <w:continuationSeparator/>
      </w:r>
    </w:p>
  </w:footnote>
  <w:footnote w:type="continuationNotice" w:id="1">
    <w:p w14:paraId="2A45D771" w14:textId="77777777" w:rsidR="00DE569E" w:rsidRDefault="00DE569E">
      <w:pPr>
        <w:spacing w:after="0" w:line="240" w:lineRule="auto"/>
      </w:pPr>
    </w:p>
  </w:footnote>
  <w:footnote w:id="2">
    <w:p w14:paraId="275291B2" w14:textId="5281C9E4" w:rsidR="00D123F8" w:rsidRDefault="00D123F8">
      <w:pPr>
        <w:pStyle w:val="FootnoteText"/>
      </w:pPr>
      <w:r>
        <w:rPr>
          <w:rStyle w:val="FootnoteReference"/>
        </w:rPr>
        <w:footnoteRef/>
      </w:r>
      <w:r>
        <w:t xml:space="preserve"> </w:t>
      </w:r>
      <w:r>
        <w:rPr>
          <w:lang w:eastAsia="en-GB"/>
        </w:rPr>
        <w:t>Noting that we need to update the data specification to clarify that Residential Status will be checked on submission of the Enrolment.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936"/>
    <w:multiLevelType w:val="multilevel"/>
    <w:tmpl w:val="CCF4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65371"/>
    <w:multiLevelType w:val="hybridMultilevel"/>
    <w:tmpl w:val="C2D2A7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B836DD"/>
    <w:multiLevelType w:val="hybridMultilevel"/>
    <w:tmpl w:val="D4E6F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795D00"/>
    <w:multiLevelType w:val="multilevel"/>
    <w:tmpl w:val="11A0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2671E"/>
    <w:multiLevelType w:val="hybridMultilevel"/>
    <w:tmpl w:val="1AB032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754DA4"/>
    <w:multiLevelType w:val="hybridMultilevel"/>
    <w:tmpl w:val="FFFFFFFF"/>
    <w:lvl w:ilvl="0" w:tplc="B6EC03F8">
      <w:start w:val="1"/>
      <w:numFmt w:val="decimal"/>
      <w:lvlText w:val="%1."/>
      <w:lvlJc w:val="left"/>
      <w:pPr>
        <w:ind w:left="360" w:hanging="360"/>
      </w:pPr>
    </w:lvl>
    <w:lvl w:ilvl="1" w:tplc="7B866364">
      <w:start w:val="1"/>
      <w:numFmt w:val="lowerLetter"/>
      <w:lvlText w:val="%2."/>
      <w:lvlJc w:val="left"/>
      <w:pPr>
        <w:ind w:left="1080" w:hanging="360"/>
      </w:pPr>
    </w:lvl>
    <w:lvl w:ilvl="2" w:tplc="6F4AF666">
      <w:start w:val="1"/>
      <w:numFmt w:val="lowerRoman"/>
      <w:lvlText w:val="%3."/>
      <w:lvlJc w:val="right"/>
      <w:pPr>
        <w:ind w:left="1800" w:hanging="180"/>
      </w:pPr>
    </w:lvl>
    <w:lvl w:ilvl="3" w:tplc="2F261A4C">
      <w:start w:val="1"/>
      <w:numFmt w:val="decimal"/>
      <w:lvlText w:val="%4."/>
      <w:lvlJc w:val="left"/>
      <w:pPr>
        <w:ind w:left="2520" w:hanging="360"/>
      </w:pPr>
    </w:lvl>
    <w:lvl w:ilvl="4" w:tplc="38ACA54E">
      <w:start w:val="1"/>
      <w:numFmt w:val="lowerLetter"/>
      <w:lvlText w:val="%5."/>
      <w:lvlJc w:val="left"/>
      <w:pPr>
        <w:ind w:left="3240" w:hanging="360"/>
      </w:pPr>
    </w:lvl>
    <w:lvl w:ilvl="5" w:tplc="1644888A">
      <w:start w:val="1"/>
      <w:numFmt w:val="lowerRoman"/>
      <w:lvlText w:val="%6."/>
      <w:lvlJc w:val="right"/>
      <w:pPr>
        <w:ind w:left="3960" w:hanging="180"/>
      </w:pPr>
    </w:lvl>
    <w:lvl w:ilvl="6" w:tplc="AA90C8E2">
      <w:start w:val="1"/>
      <w:numFmt w:val="decimal"/>
      <w:lvlText w:val="%7."/>
      <w:lvlJc w:val="left"/>
      <w:pPr>
        <w:ind w:left="4680" w:hanging="360"/>
      </w:pPr>
    </w:lvl>
    <w:lvl w:ilvl="7" w:tplc="1908D028">
      <w:start w:val="1"/>
      <w:numFmt w:val="lowerLetter"/>
      <w:lvlText w:val="%8."/>
      <w:lvlJc w:val="left"/>
      <w:pPr>
        <w:ind w:left="5400" w:hanging="360"/>
      </w:pPr>
    </w:lvl>
    <w:lvl w:ilvl="8" w:tplc="06E03176">
      <w:start w:val="1"/>
      <w:numFmt w:val="lowerRoman"/>
      <w:lvlText w:val="%9."/>
      <w:lvlJc w:val="right"/>
      <w:pPr>
        <w:ind w:left="6120" w:hanging="180"/>
      </w:pPr>
    </w:lvl>
  </w:abstractNum>
  <w:abstractNum w:abstractNumId="6" w15:restartNumberingAfterBreak="0">
    <w:nsid w:val="43804B37"/>
    <w:multiLevelType w:val="hybridMultilevel"/>
    <w:tmpl w:val="7EFC04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F1384F"/>
    <w:multiLevelType w:val="multilevel"/>
    <w:tmpl w:val="BF6874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B865C8"/>
    <w:multiLevelType w:val="hybridMultilevel"/>
    <w:tmpl w:val="4A00646E"/>
    <w:lvl w:ilvl="0" w:tplc="27DC9C66">
      <w:start w:val="1"/>
      <w:numFmt w:val="decimal"/>
      <w:lvlText w:val="%1."/>
      <w:lvlJc w:val="left"/>
      <w:pPr>
        <w:ind w:left="360" w:hanging="360"/>
      </w:pPr>
      <w:rPr>
        <w:rFonts w:hint="default"/>
        <w:b/>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5F337B8"/>
    <w:multiLevelType w:val="hybridMultilevel"/>
    <w:tmpl w:val="869441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5F87711"/>
    <w:multiLevelType w:val="hybridMultilevel"/>
    <w:tmpl w:val="4628BF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AE03259"/>
    <w:multiLevelType w:val="hybridMultilevel"/>
    <w:tmpl w:val="3424AF5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04559B"/>
    <w:multiLevelType w:val="hybridMultilevel"/>
    <w:tmpl w:val="BDD2A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3F396E"/>
    <w:multiLevelType w:val="hybridMultilevel"/>
    <w:tmpl w:val="F10840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71309B4"/>
    <w:multiLevelType w:val="hybridMultilevel"/>
    <w:tmpl w:val="74E8438C"/>
    <w:lvl w:ilvl="0" w:tplc="1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5FA4323"/>
    <w:multiLevelType w:val="hybridMultilevel"/>
    <w:tmpl w:val="97CCE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163780"/>
    <w:multiLevelType w:val="hybridMultilevel"/>
    <w:tmpl w:val="C5EEEA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9AF7ABB"/>
    <w:multiLevelType w:val="hybridMultilevel"/>
    <w:tmpl w:val="76B0D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9142509">
    <w:abstractNumId w:val="5"/>
  </w:num>
  <w:num w:numId="2" w16cid:durableId="2097315271">
    <w:abstractNumId w:val="8"/>
  </w:num>
  <w:num w:numId="3" w16cid:durableId="1581597766">
    <w:abstractNumId w:val="4"/>
  </w:num>
  <w:num w:numId="4" w16cid:durableId="342130070">
    <w:abstractNumId w:val="10"/>
  </w:num>
  <w:num w:numId="5" w16cid:durableId="1508246587">
    <w:abstractNumId w:val="17"/>
  </w:num>
  <w:num w:numId="6" w16cid:durableId="196045450">
    <w:abstractNumId w:val="3"/>
  </w:num>
  <w:num w:numId="7" w16cid:durableId="1351905986">
    <w:abstractNumId w:val="0"/>
  </w:num>
  <w:num w:numId="8" w16cid:durableId="892497757">
    <w:abstractNumId w:val="2"/>
  </w:num>
  <w:num w:numId="9" w16cid:durableId="718285651">
    <w:abstractNumId w:val="7"/>
  </w:num>
  <w:num w:numId="10" w16cid:durableId="157618466">
    <w:abstractNumId w:val="1"/>
  </w:num>
  <w:num w:numId="11" w16cid:durableId="239604538">
    <w:abstractNumId w:val="9"/>
  </w:num>
  <w:num w:numId="12" w16cid:durableId="1226138456">
    <w:abstractNumId w:val="16"/>
  </w:num>
  <w:num w:numId="13" w16cid:durableId="1774201239">
    <w:abstractNumId w:val="6"/>
  </w:num>
  <w:num w:numId="14" w16cid:durableId="1778283112">
    <w:abstractNumId w:val="13"/>
  </w:num>
  <w:num w:numId="15" w16cid:durableId="1961645504">
    <w:abstractNumId w:val="12"/>
  </w:num>
  <w:num w:numId="16" w16cid:durableId="1019551923">
    <w:abstractNumId w:val="11"/>
  </w:num>
  <w:num w:numId="17" w16cid:durableId="2007004435">
    <w:abstractNumId w:val="14"/>
  </w:num>
  <w:num w:numId="18" w16cid:durableId="13044597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C4"/>
    <w:rsid w:val="00005E69"/>
    <w:rsid w:val="00022FAA"/>
    <w:rsid w:val="00051EA2"/>
    <w:rsid w:val="000622C8"/>
    <w:rsid w:val="0008523F"/>
    <w:rsid w:val="0008543B"/>
    <w:rsid w:val="0009242D"/>
    <w:rsid w:val="000A3288"/>
    <w:rsid w:val="000B35D0"/>
    <w:rsid w:val="000C19EB"/>
    <w:rsid w:val="000D111F"/>
    <w:rsid w:val="000D48BC"/>
    <w:rsid w:val="000E4979"/>
    <w:rsid w:val="000F5140"/>
    <w:rsid w:val="00101BAB"/>
    <w:rsid w:val="001030EE"/>
    <w:rsid w:val="00133F21"/>
    <w:rsid w:val="00136E23"/>
    <w:rsid w:val="00140E69"/>
    <w:rsid w:val="001505E0"/>
    <w:rsid w:val="00173851"/>
    <w:rsid w:val="001A1A30"/>
    <w:rsid w:val="001A4380"/>
    <w:rsid w:val="001B6849"/>
    <w:rsid w:val="001D139D"/>
    <w:rsid w:val="001E44A6"/>
    <w:rsid w:val="001E4E6B"/>
    <w:rsid w:val="001F720D"/>
    <w:rsid w:val="00214ED3"/>
    <w:rsid w:val="00227884"/>
    <w:rsid w:val="002305CF"/>
    <w:rsid w:val="00235A1C"/>
    <w:rsid w:val="002363D7"/>
    <w:rsid w:val="00244E12"/>
    <w:rsid w:val="00252529"/>
    <w:rsid w:val="00256F10"/>
    <w:rsid w:val="00262C16"/>
    <w:rsid w:val="00272F68"/>
    <w:rsid w:val="00274259"/>
    <w:rsid w:val="002817DF"/>
    <w:rsid w:val="00290E19"/>
    <w:rsid w:val="002A1DA1"/>
    <w:rsid w:val="002B5164"/>
    <w:rsid w:val="002C7D87"/>
    <w:rsid w:val="002D370A"/>
    <w:rsid w:val="002D5C0F"/>
    <w:rsid w:val="002F1293"/>
    <w:rsid w:val="002F45C8"/>
    <w:rsid w:val="0030182A"/>
    <w:rsid w:val="0033187B"/>
    <w:rsid w:val="003523D3"/>
    <w:rsid w:val="003563BD"/>
    <w:rsid w:val="00363F06"/>
    <w:rsid w:val="00377FE3"/>
    <w:rsid w:val="003B2C1A"/>
    <w:rsid w:val="003B53F6"/>
    <w:rsid w:val="003C051C"/>
    <w:rsid w:val="003D4176"/>
    <w:rsid w:val="003E4DEA"/>
    <w:rsid w:val="003E69DE"/>
    <w:rsid w:val="003F6FCB"/>
    <w:rsid w:val="004055E8"/>
    <w:rsid w:val="00434ECE"/>
    <w:rsid w:val="0043517D"/>
    <w:rsid w:val="004666FB"/>
    <w:rsid w:val="00474A8C"/>
    <w:rsid w:val="00496F76"/>
    <w:rsid w:val="004C17A6"/>
    <w:rsid w:val="004D5697"/>
    <w:rsid w:val="004E3FD7"/>
    <w:rsid w:val="004F2BAA"/>
    <w:rsid w:val="00502F50"/>
    <w:rsid w:val="00513C60"/>
    <w:rsid w:val="00534DD0"/>
    <w:rsid w:val="00540EE4"/>
    <w:rsid w:val="0054215C"/>
    <w:rsid w:val="00555F01"/>
    <w:rsid w:val="00556FEF"/>
    <w:rsid w:val="005641C4"/>
    <w:rsid w:val="00566952"/>
    <w:rsid w:val="00566AEC"/>
    <w:rsid w:val="00575F47"/>
    <w:rsid w:val="00592CBB"/>
    <w:rsid w:val="005A4A93"/>
    <w:rsid w:val="005A69B0"/>
    <w:rsid w:val="005D7846"/>
    <w:rsid w:val="005E6A25"/>
    <w:rsid w:val="005E6C52"/>
    <w:rsid w:val="00610497"/>
    <w:rsid w:val="0061128E"/>
    <w:rsid w:val="00613B49"/>
    <w:rsid w:val="006359A9"/>
    <w:rsid w:val="006372CA"/>
    <w:rsid w:val="006450FC"/>
    <w:rsid w:val="006465EE"/>
    <w:rsid w:val="006578F7"/>
    <w:rsid w:val="006730D4"/>
    <w:rsid w:val="00684CD5"/>
    <w:rsid w:val="00695C32"/>
    <w:rsid w:val="006B5BF7"/>
    <w:rsid w:val="006E0536"/>
    <w:rsid w:val="006F7DD3"/>
    <w:rsid w:val="00703397"/>
    <w:rsid w:val="007118E5"/>
    <w:rsid w:val="00713769"/>
    <w:rsid w:val="00751B01"/>
    <w:rsid w:val="007559B1"/>
    <w:rsid w:val="00770D6D"/>
    <w:rsid w:val="007749F2"/>
    <w:rsid w:val="007859DE"/>
    <w:rsid w:val="00787085"/>
    <w:rsid w:val="00793767"/>
    <w:rsid w:val="00794D74"/>
    <w:rsid w:val="007B08B9"/>
    <w:rsid w:val="007B125C"/>
    <w:rsid w:val="007B46CE"/>
    <w:rsid w:val="007B6FFA"/>
    <w:rsid w:val="007C443A"/>
    <w:rsid w:val="007D2F1E"/>
    <w:rsid w:val="007D3D6B"/>
    <w:rsid w:val="007F504E"/>
    <w:rsid w:val="00804B0A"/>
    <w:rsid w:val="00820DD4"/>
    <w:rsid w:val="008274F7"/>
    <w:rsid w:val="00840A4A"/>
    <w:rsid w:val="00856BA3"/>
    <w:rsid w:val="00864555"/>
    <w:rsid w:val="00864EB1"/>
    <w:rsid w:val="00874A4B"/>
    <w:rsid w:val="00876126"/>
    <w:rsid w:val="008869F1"/>
    <w:rsid w:val="00894019"/>
    <w:rsid w:val="008A0781"/>
    <w:rsid w:val="008B3190"/>
    <w:rsid w:val="008B6A0D"/>
    <w:rsid w:val="008C287E"/>
    <w:rsid w:val="008D35AE"/>
    <w:rsid w:val="008F1BF2"/>
    <w:rsid w:val="008F31F3"/>
    <w:rsid w:val="008F66DC"/>
    <w:rsid w:val="00966801"/>
    <w:rsid w:val="0097142C"/>
    <w:rsid w:val="009743F5"/>
    <w:rsid w:val="00981E74"/>
    <w:rsid w:val="00987D4A"/>
    <w:rsid w:val="00994B70"/>
    <w:rsid w:val="00995C86"/>
    <w:rsid w:val="009A61FE"/>
    <w:rsid w:val="009B213E"/>
    <w:rsid w:val="009B2ED4"/>
    <w:rsid w:val="009C0B8C"/>
    <w:rsid w:val="009C19BB"/>
    <w:rsid w:val="009C1F59"/>
    <w:rsid w:val="009C69A1"/>
    <w:rsid w:val="009E2DDB"/>
    <w:rsid w:val="009F0019"/>
    <w:rsid w:val="00A003CE"/>
    <w:rsid w:val="00A12CAC"/>
    <w:rsid w:val="00A22E1C"/>
    <w:rsid w:val="00A25F57"/>
    <w:rsid w:val="00A30368"/>
    <w:rsid w:val="00A57618"/>
    <w:rsid w:val="00A61F5E"/>
    <w:rsid w:val="00A630E0"/>
    <w:rsid w:val="00A659AB"/>
    <w:rsid w:val="00A66760"/>
    <w:rsid w:val="00A8005F"/>
    <w:rsid w:val="00A97ECA"/>
    <w:rsid w:val="00AA3715"/>
    <w:rsid w:val="00AB21D8"/>
    <w:rsid w:val="00AD3A9C"/>
    <w:rsid w:val="00AF6468"/>
    <w:rsid w:val="00B15F9D"/>
    <w:rsid w:val="00B16D5B"/>
    <w:rsid w:val="00B20B85"/>
    <w:rsid w:val="00B301C9"/>
    <w:rsid w:val="00B40B84"/>
    <w:rsid w:val="00B6320D"/>
    <w:rsid w:val="00B6472F"/>
    <w:rsid w:val="00B65072"/>
    <w:rsid w:val="00B70370"/>
    <w:rsid w:val="00B73531"/>
    <w:rsid w:val="00B73E73"/>
    <w:rsid w:val="00B8374F"/>
    <w:rsid w:val="00B936E0"/>
    <w:rsid w:val="00B97404"/>
    <w:rsid w:val="00BA6224"/>
    <w:rsid w:val="00BC22B7"/>
    <w:rsid w:val="00BD09A9"/>
    <w:rsid w:val="00BD70A7"/>
    <w:rsid w:val="00BE4033"/>
    <w:rsid w:val="00C111CF"/>
    <w:rsid w:val="00C13DEF"/>
    <w:rsid w:val="00C36397"/>
    <w:rsid w:val="00C428C9"/>
    <w:rsid w:val="00C66AA3"/>
    <w:rsid w:val="00C73EC6"/>
    <w:rsid w:val="00C84C3F"/>
    <w:rsid w:val="00CA4137"/>
    <w:rsid w:val="00CA4226"/>
    <w:rsid w:val="00CB1E23"/>
    <w:rsid w:val="00CB6640"/>
    <w:rsid w:val="00CB72BE"/>
    <w:rsid w:val="00CC2322"/>
    <w:rsid w:val="00CE1952"/>
    <w:rsid w:val="00CE1E9E"/>
    <w:rsid w:val="00CF089F"/>
    <w:rsid w:val="00CF0AE2"/>
    <w:rsid w:val="00CF292C"/>
    <w:rsid w:val="00CF2A3D"/>
    <w:rsid w:val="00CF32B8"/>
    <w:rsid w:val="00CF3D67"/>
    <w:rsid w:val="00D123F8"/>
    <w:rsid w:val="00D1487F"/>
    <w:rsid w:val="00D227BB"/>
    <w:rsid w:val="00D61858"/>
    <w:rsid w:val="00D67B2E"/>
    <w:rsid w:val="00D751A7"/>
    <w:rsid w:val="00D835B0"/>
    <w:rsid w:val="00DD101A"/>
    <w:rsid w:val="00DD2CF3"/>
    <w:rsid w:val="00DE569E"/>
    <w:rsid w:val="00E0349D"/>
    <w:rsid w:val="00E03F37"/>
    <w:rsid w:val="00E207F3"/>
    <w:rsid w:val="00E31DAE"/>
    <w:rsid w:val="00E364F0"/>
    <w:rsid w:val="00E477C3"/>
    <w:rsid w:val="00E47AC5"/>
    <w:rsid w:val="00E50B8C"/>
    <w:rsid w:val="00E751A8"/>
    <w:rsid w:val="00E825B9"/>
    <w:rsid w:val="00EB190A"/>
    <w:rsid w:val="00EB76D7"/>
    <w:rsid w:val="00EC7E66"/>
    <w:rsid w:val="00EE202F"/>
    <w:rsid w:val="00EE32FD"/>
    <w:rsid w:val="00EF04EA"/>
    <w:rsid w:val="00F241C3"/>
    <w:rsid w:val="00F4288B"/>
    <w:rsid w:val="00F4340D"/>
    <w:rsid w:val="00F52D91"/>
    <w:rsid w:val="00F72097"/>
    <w:rsid w:val="00F81D62"/>
    <w:rsid w:val="00F82890"/>
    <w:rsid w:val="00F92CA6"/>
    <w:rsid w:val="00FA2ADD"/>
    <w:rsid w:val="00FE6211"/>
    <w:rsid w:val="1243690A"/>
    <w:rsid w:val="12E90B3C"/>
    <w:rsid w:val="167FD0CB"/>
    <w:rsid w:val="1FB9254B"/>
    <w:rsid w:val="2FAD9570"/>
    <w:rsid w:val="30507E36"/>
    <w:rsid w:val="3251D65C"/>
    <w:rsid w:val="3862AE93"/>
    <w:rsid w:val="38ACCE81"/>
    <w:rsid w:val="3BFFF456"/>
    <w:rsid w:val="41CB026D"/>
    <w:rsid w:val="44B40D2B"/>
    <w:rsid w:val="4E8280B8"/>
    <w:rsid w:val="50146D2C"/>
    <w:rsid w:val="5E35E697"/>
    <w:rsid w:val="5FC9BB31"/>
    <w:rsid w:val="63240B41"/>
    <w:rsid w:val="68E20CF0"/>
    <w:rsid w:val="6B12D92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1A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1C4"/>
    <w:rPr>
      <w:rFonts w:eastAsiaTheme="majorEastAsia" w:cstheme="majorBidi"/>
      <w:color w:val="272727" w:themeColor="text1" w:themeTint="D8"/>
    </w:rPr>
  </w:style>
  <w:style w:type="paragraph" w:styleId="Title">
    <w:name w:val="Title"/>
    <w:basedOn w:val="Normal"/>
    <w:next w:val="Normal"/>
    <w:link w:val="TitleChar"/>
    <w:uiPriority w:val="10"/>
    <w:qFormat/>
    <w:rsid w:val="00564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1C4"/>
    <w:pPr>
      <w:spacing w:before="160"/>
      <w:jc w:val="center"/>
    </w:pPr>
    <w:rPr>
      <w:i/>
      <w:iCs/>
      <w:color w:val="404040" w:themeColor="text1" w:themeTint="BF"/>
    </w:rPr>
  </w:style>
  <w:style w:type="character" w:customStyle="1" w:styleId="QuoteChar">
    <w:name w:val="Quote Char"/>
    <w:basedOn w:val="DefaultParagraphFont"/>
    <w:link w:val="Quote"/>
    <w:uiPriority w:val="29"/>
    <w:rsid w:val="005641C4"/>
    <w:rPr>
      <w:i/>
      <w:iCs/>
      <w:color w:val="404040" w:themeColor="text1" w:themeTint="BF"/>
    </w:rPr>
  </w:style>
  <w:style w:type="paragraph" w:styleId="ListParagraph">
    <w:name w:val="List Paragraph"/>
    <w:basedOn w:val="Normal"/>
    <w:uiPriority w:val="34"/>
    <w:qFormat/>
    <w:rsid w:val="005641C4"/>
    <w:pPr>
      <w:ind w:left="720"/>
      <w:contextualSpacing/>
    </w:pPr>
  </w:style>
  <w:style w:type="character" w:styleId="IntenseEmphasis">
    <w:name w:val="Intense Emphasis"/>
    <w:basedOn w:val="DefaultParagraphFont"/>
    <w:uiPriority w:val="21"/>
    <w:qFormat/>
    <w:rsid w:val="005641C4"/>
    <w:rPr>
      <w:i/>
      <w:iCs/>
      <w:color w:val="0F4761" w:themeColor="accent1" w:themeShade="BF"/>
    </w:rPr>
  </w:style>
  <w:style w:type="paragraph" w:styleId="IntenseQuote">
    <w:name w:val="Intense Quote"/>
    <w:basedOn w:val="Normal"/>
    <w:next w:val="Normal"/>
    <w:link w:val="IntenseQuoteChar"/>
    <w:uiPriority w:val="30"/>
    <w:qFormat/>
    <w:rsid w:val="00564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1C4"/>
    <w:rPr>
      <w:i/>
      <w:iCs/>
      <w:color w:val="0F4761" w:themeColor="accent1" w:themeShade="BF"/>
    </w:rPr>
  </w:style>
  <w:style w:type="character" w:styleId="IntenseReference">
    <w:name w:val="Intense Reference"/>
    <w:basedOn w:val="DefaultParagraphFont"/>
    <w:uiPriority w:val="32"/>
    <w:qFormat/>
    <w:rsid w:val="005641C4"/>
    <w:rPr>
      <w:b/>
      <w:bCs/>
      <w:smallCaps/>
      <w:color w:val="0F4761" w:themeColor="accent1" w:themeShade="BF"/>
      <w:spacing w:val="5"/>
    </w:rPr>
  </w:style>
  <w:style w:type="paragraph" w:styleId="TOCHeading">
    <w:name w:val="TOC Heading"/>
    <w:basedOn w:val="Heading1"/>
    <w:next w:val="Normal"/>
    <w:uiPriority w:val="39"/>
    <w:qFormat/>
    <w:rsid w:val="00864EB1"/>
    <w:pPr>
      <w:keepLines w:val="0"/>
      <w:spacing w:before="0" w:after="360" w:line="240" w:lineRule="auto"/>
    </w:pPr>
    <w:rPr>
      <w:rFonts w:ascii="Georgia" w:hAnsi="Georgia"/>
      <w:b/>
      <w:bCs/>
      <w:noProof/>
      <w:color w:val="007FAB"/>
      <w:kern w:val="0"/>
      <w:szCs w:val="32"/>
      <w:lang w:eastAsia="en-GB"/>
      <w14:ligatures w14:val="none"/>
    </w:rPr>
  </w:style>
  <w:style w:type="character" w:styleId="CommentReference">
    <w:name w:val="annotation reference"/>
    <w:basedOn w:val="DefaultParagraphFont"/>
    <w:uiPriority w:val="99"/>
    <w:semiHidden/>
    <w:unhideWhenUsed/>
    <w:rsid w:val="003D4176"/>
    <w:rPr>
      <w:sz w:val="16"/>
      <w:szCs w:val="16"/>
    </w:rPr>
  </w:style>
  <w:style w:type="paragraph" w:styleId="CommentText">
    <w:name w:val="annotation text"/>
    <w:basedOn w:val="Normal"/>
    <w:link w:val="CommentTextChar"/>
    <w:uiPriority w:val="99"/>
    <w:unhideWhenUsed/>
    <w:rsid w:val="003D4176"/>
    <w:pPr>
      <w:spacing w:line="240" w:lineRule="auto"/>
    </w:pPr>
    <w:rPr>
      <w:sz w:val="20"/>
      <w:szCs w:val="20"/>
    </w:rPr>
  </w:style>
  <w:style w:type="character" w:customStyle="1" w:styleId="CommentTextChar">
    <w:name w:val="Comment Text Char"/>
    <w:basedOn w:val="DefaultParagraphFont"/>
    <w:link w:val="CommentText"/>
    <w:uiPriority w:val="99"/>
    <w:rsid w:val="003D4176"/>
    <w:rPr>
      <w:sz w:val="20"/>
      <w:szCs w:val="20"/>
    </w:rPr>
  </w:style>
  <w:style w:type="paragraph" w:styleId="CommentSubject">
    <w:name w:val="annotation subject"/>
    <w:basedOn w:val="CommentText"/>
    <w:next w:val="CommentText"/>
    <w:link w:val="CommentSubjectChar"/>
    <w:uiPriority w:val="99"/>
    <w:semiHidden/>
    <w:unhideWhenUsed/>
    <w:rsid w:val="003D4176"/>
    <w:rPr>
      <w:b/>
      <w:bCs/>
    </w:rPr>
  </w:style>
  <w:style w:type="character" w:customStyle="1" w:styleId="CommentSubjectChar">
    <w:name w:val="Comment Subject Char"/>
    <w:basedOn w:val="CommentTextChar"/>
    <w:link w:val="CommentSubject"/>
    <w:uiPriority w:val="99"/>
    <w:semiHidden/>
    <w:rsid w:val="003D4176"/>
    <w:rPr>
      <w:b/>
      <w:bCs/>
      <w:sz w:val="20"/>
      <w:szCs w:val="20"/>
    </w:rPr>
  </w:style>
  <w:style w:type="character" w:styleId="Hyperlink">
    <w:name w:val="Hyperlink"/>
    <w:basedOn w:val="DefaultParagraphFont"/>
    <w:uiPriority w:val="99"/>
    <w:unhideWhenUsed/>
    <w:rsid w:val="00EE202F"/>
    <w:rPr>
      <w:color w:val="467886" w:themeColor="hyperlink"/>
      <w:u w:val="single"/>
    </w:rPr>
  </w:style>
  <w:style w:type="character" w:styleId="UnresolvedMention">
    <w:name w:val="Unresolved Mention"/>
    <w:basedOn w:val="DefaultParagraphFont"/>
    <w:uiPriority w:val="99"/>
    <w:semiHidden/>
    <w:unhideWhenUsed/>
    <w:rsid w:val="00EE202F"/>
    <w:rPr>
      <w:color w:val="605E5C"/>
      <w:shd w:val="clear" w:color="auto" w:fill="E1DFDD"/>
    </w:rPr>
  </w:style>
  <w:style w:type="table" w:styleId="TableGrid">
    <w:name w:val="Table Grid"/>
    <w:basedOn w:val="TableNormal"/>
    <w:uiPriority w:val="39"/>
    <w:rsid w:val="00C1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32B8"/>
    <w:rPr>
      <w:color w:val="96607D" w:themeColor="followedHyperlink"/>
      <w:u w:val="single"/>
    </w:rPr>
  </w:style>
  <w:style w:type="paragraph" w:styleId="Header">
    <w:name w:val="header"/>
    <w:basedOn w:val="Normal"/>
    <w:link w:val="HeaderChar"/>
    <w:uiPriority w:val="99"/>
    <w:unhideWhenUsed/>
    <w:rsid w:val="00A1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CAC"/>
  </w:style>
  <w:style w:type="paragraph" w:styleId="Footer">
    <w:name w:val="footer"/>
    <w:basedOn w:val="Normal"/>
    <w:link w:val="FooterChar"/>
    <w:uiPriority w:val="99"/>
    <w:unhideWhenUsed/>
    <w:rsid w:val="00A1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CAC"/>
  </w:style>
  <w:style w:type="paragraph" w:styleId="FootnoteText">
    <w:name w:val="footnote text"/>
    <w:basedOn w:val="Normal"/>
    <w:link w:val="FootnoteTextChar"/>
    <w:uiPriority w:val="99"/>
    <w:semiHidden/>
    <w:unhideWhenUsed/>
    <w:rsid w:val="00A12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CAC"/>
    <w:rPr>
      <w:sz w:val="20"/>
      <w:szCs w:val="20"/>
    </w:rPr>
  </w:style>
  <w:style w:type="character" w:styleId="FootnoteReference">
    <w:name w:val="footnote reference"/>
    <w:basedOn w:val="DefaultParagraphFont"/>
    <w:uiPriority w:val="99"/>
    <w:semiHidden/>
    <w:unhideWhenUsed/>
    <w:rsid w:val="00A12CAC"/>
    <w:rPr>
      <w:vertAlign w:val="superscript"/>
    </w:rPr>
  </w:style>
  <w:style w:type="paragraph" w:styleId="Revision">
    <w:name w:val="Revision"/>
    <w:hidden/>
    <w:uiPriority w:val="99"/>
    <w:semiHidden/>
    <w:rsid w:val="00556FEF"/>
    <w:pPr>
      <w:spacing w:after="0" w:line="240" w:lineRule="auto"/>
    </w:pPr>
  </w:style>
  <w:style w:type="paragraph" w:customStyle="1" w:styleId="paragraph">
    <w:name w:val="paragraph"/>
    <w:basedOn w:val="Normal"/>
    <w:rsid w:val="00556FEF"/>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normaltextrun">
    <w:name w:val="normaltextrun"/>
    <w:basedOn w:val="DefaultParagraphFont"/>
    <w:rsid w:val="00556FEF"/>
  </w:style>
  <w:style w:type="character" w:customStyle="1" w:styleId="eop">
    <w:name w:val="eop"/>
    <w:basedOn w:val="DefaultParagraphFont"/>
    <w:rsid w:val="0055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2179">
      <w:bodyDiv w:val="1"/>
      <w:marLeft w:val="0"/>
      <w:marRight w:val="0"/>
      <w:marTop w:val="0"/>
      <w:marBottom w:val="0"/>
      <w:divBdr>
        <w:top w:val="none" w:sz="0" w:space="0" w:color="auto"/>
        <w:left w:val="none" w:sz="0" w:space="0" w:color="auto"/>
        <w:bottom w:val="none" w:sz="0" w:space="0" w:color="auto"/>
        <w:right w:val="none" w:sz="0" w:space="0" w:color="auto"/>
      </w:divBdr>
    </w:div>
    <w:div w:id="877354790">
      <w:bodyDiv w:val="1"/>
      <w:marLeft w:val="0"/>
      <w:marRight w:val="0"/>
      <w:marTop w:val="0"/>
      <w:marBottom w:val="0"/>
      <w:divBdr>
        <w:top w:val="none" w:sz="0" w:space="0" w:color="auto"/>
        <w:left w:val="none" w:sz="0" w:space="0" w:color="auto"/>
        <w:bottom w:val="none" w:sz="0" w:space="0" w:color="auto"/>
        <w:right w:val="none" w:sz="0" w:space="0" w:color="auto"/>
      </w:divBdr>
      <w:divsChild>
        <w:div w:id="1034187757">
          <w:marLeft w:val="0"/>
          <w:marRight w:val="0"/>
          <w:marTop w:val="0"/>
          <w:marBottom w:val="0"/>
          <w:divBdr>
            <w:top w:val="none" w:sz="0" w:space="0" w:color="auto"/>
            <w:left w:val="none" w:sz="0" w:space="0" w:color="auto"/>
            <w:bottom w:val="none" w:sz="0" w:space="0" w:color="auto"/>
            <w:right w:val="none" w:sz="0" w:space="0" w:color="auto"/>
          </w:divBdr>
        </w:div>
        <w:div w:id="1180436595">
          <w:marLeft w:val="0"/>
          <w:marRight w:val="0"/>
          <w:marTop w:val="0"/>
          <w:marBottom w:val="0"/>
          <w:divBdr>
            <w:top w:val="none" w:sz="0" w:space="0" w:color="auto"/>
            <w:left w:val="none" w:sz="0" w:space="0" w:color="auto"/>
            <w:bottom w:val="none" w:sz="0" w:space="0" w:color="auto"/>
            <w:right w:val="none" w:sz="0" w:space="0" w:color="auto"/>
          </w:divBdr>
        </w:div>
        <w:div w:id="1971132466">
          <w:marLeft w:val="0"/>
          <w:marRight w:val="0"/>
          <w:marTop w:val="0"/>
          <w:marBottom w:val="0"/>
          <w:divBdr>
            <w:top w:val="none" w:sz="0" w:space="0" w:color="auto"/>
            <w:left w:val="none" w:sz="0" w:space="0" w:color="auto"/>
            <w:bottom w:val="none" w:sz="0" w:space="0" w:color="auto"/>
            <w:right w:val="none" w:sz="0" w:space="0" w:color="auto"/>
          </w:divBdr>
        </w:div>
      </w:divsChild>
    </w:div>
    <w:div w:id="1077165035">
      <w:bodyDiv w:val="1"/>
      <w:marLeft w:val="0"/>
      <w:marRight w:val="0"/>
      <w:marTop w:val="0"/>
      <w:marBottom w:val="0"/>
      <w:divBdr>
        <w:top w:val="none" w:sz="0" w:space="0" w:color="auto"/>
        <w:left w:val="none" w:sz="0" w:space="0" w:color="auto"/>
        <w:bottom w:val="none" w:sz="0" w:space="0" w:color="auto"/>
        <w:right w:val="none" w:sz="0" w:space="0" w:color="auto"/>
      </w:divBdr>
    </w:div>
    <w:div w:id="1335449320">
      <w:bodyDiv w:val="1"/>
      <w:marLeft w:val="0"/>
      <w:marRight w:val="0"/>
      <w:marTop w:val="0"/>
      <w:marBottom w:val="0"/>
      <w:divBdr>
        <w:top w:val="none" w:sz="0" w:space="0" w:color="auto"/>
        <w:left w:val="none" w:sz="0" w:space="0" w:color="auto"/>
        <w:bottom w:val="none" w:sz="0" w:space="0" w:color="auto"/>
        <w:right w:val="none" w:sz="0" w:space="0" w:color="auto"/>
      </w:divBdr>
    </w:div>
    <w:div w:id="15506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govt.nz/funding/funding-and-performance/funding/fund-finder/dq3-7/learner-eligibility/accredited-employer-work-visa-aewv-holders-funding-eligibility" TargetMode="External"/><Relationship Id="rId3" Type="http://schemas.openxmlformats.org/officeDocument/2006/relationships/settings" Target="settings.xml"/><Relationship Id="rId7" Type="http://schemas.openxmlformats.org/officeDocument/2006/relationships/hyperlink" Target="https://gazette.govt.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c.govt.nz/funding/funding-and-performance/investment/plan-guidance/micro-credentials" TargetMode="External"/><Relationship Id="rId4" Type="http://schemas.openxmlformats.org/officeDocument/2006/relationships/webSettings" Target="webSettings.xml"/><Relationship Id="rId9" Type="http://schemas.openxmlformats.org/officeDocument/2006/relationships/hyperlink" Target="https://www.tec.govt.nz/funding/funding-and-performance/reporting/data-system-refresh-programme/data-specifications-work-b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9223</Characters>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Links>
    <vt:vector size="24" baseType="variant">
      <vt:variant>
        <vt:i4>6815798</vt:i4>
      </vt:variant>
      <vt:variant>
        <vt:i4>9</vt:i4>
      </vt:variant>
      <vt:variant>
        <vt:i4>0</vt:i4>
      </vt:variant>
      <vt:variant>
        <vt:i4>5</vt:i4>
      </vt:variant>
      <vt:variant>
        <vt:lpwstr>https://www.tec.govt.nz/funding/funding-and-performance/investment/plan-guidance/micro-credentials</vt:lpwstr>
      </vt:variant>
      <vt:variant>
        <vt:lpwstr/>
      </vt:variant>
      <vt:variant>
        <vt:i4>6291500</vt:i4>
      </vt:variant>
      <vt:variant>
        <vt:i4>6</vt:i4>
      </vt:variant>
      <vt:variant>
        <vt:i4>0</vt:i4>
      </vt:variant>
      <vt:variant>
        <vt:i4>5</vt:i4>
      </vt:variant>
      <vt:variant>
        <vt:lpwstr>https://www.tec.govt.nz/funding/funding-and-performance/reporting/data-system-refresh-programme/data-specifications-work-based</vt:lpwstr>
      </vt:variant>
      <vt:variant>
        <vt:lpwstr/>
      </vt:variant>
      <vt:variant>
        <vt:i4>5570573</vt:i4>
      </vt:variant>
      <vt:variant>
        <vt:i4>3</vt:i4>
      </vt:variant>
      <vt:variant>
        <vt:i4>0</vt:i4>
      </vt:variant>
      <vt:variant>
        <vt:i4>5</vt:i4>
      </vt:variant>
      <vt:variant>
        <vt:lpwstr>https://www.tec.govt.nz/funding/funding-and-performance/funding/fund-finder/dq3-7/learner-eligibility/accredited-employer-work-visa-aewv-holders-funding-eligibility</vt:lpwstr>
      </vt:variant>
      <vt:variant>
        <vt:lpwstr/>
      </vt:variant>
      <vt:variant>
        <vt:i4>1376265</vt:i4>
      </vt:variant>
      <vt:variant>
        <vt:i4>0</vt:i4>
      </vt:variant>
      <vt:variant>
        <vt:i4>0</vt:i4>
      </vt:variant>
      <vt:variant>
        <vt:i4>5</vt:i4>
      </vt:variant>
      <vt:variant>
        <vt:lpwstr>https://gazette.govt.nz/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 Frequently asked questions and guidance</dc:title>
  <dc:subject/>
  <dc:creator>Tertiary Education Commission</dc:creator>
  <cp:keywords/>
  <dc:description/>
  <cp:lastModifiedBy/>
  <dcterms:created xsi:type="dcterms:W3CDTF">2025-05-20T05:29:00Z</dcterms:created>
  <dcterms:modified xsi:type="dcterms:W3CDTF">2025-05-20T05:29:00Z</dcterms:modified>
</cp:coreProperties>
</file>