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0C5B6" w14:textId="1EE7E879" w:rsidR="00B96173" w:rsidRDefault="003D5BAB" w:rsidP="00874F68">
      <w:pPr>
        <w:rPr>
          <w:rFonts w:asciiTheme="majorHAnsi" w:hAnsiTheme="majorHAnsi"/>
          <w:color w:val="0070C0"/>
          <w:sz w:val="32"/>
          <w:szCs w:val="32"/>
        </w:rPr>
      </w:pPr>
      <w:r>
        <w:rPr>
          <w:rFonts w:asciiTheme="majorHAnsi" w:hAnsiTheme="majorHAnsi"/>
          <w:color w:val="0070C0"/>
          <w:sz w:val="32"/>
          <w:szCs w:val="32"/>
        </w:rPr>
        <w:t xml:space="preserve">Work based data – </w:t>
      </w:r>
      <w:r w:rsidR="40B8C339" w:rsidRPr="18B7C85F">
        <w:rPr>
          <w:rFonts w:asciiTheme="majorHAnsi" w:hAnsiTheme="majorHAnsi"/>
          <w:color w:val="0070C0"/>
          <w:sz w:val="32"/>
          <w:szCs w:val="32"/>
        </w:rPr>
        <w:t xml:space="preserve">transition to </w:t>
      </w:r>
      <w:r w:rsidR="2BAE6441" w:rsidRPr="18B7C85F">
        <w:rPr>
          <w:rFonts w:asciiTheme="majorHAnsi" w:hAnsiTheme="majorHAnsi"/>
          <w:color w:val="0070C0"/>
          <w:sz w:val="32"/>
          <w:szCs w:val="32"/>
        </w:rPr>
        <w:t xml:space="preserve">the </w:t>
      </w:r>
      <w:r w:rsidR="00920E1C">
        <w:rPr>
          <w:rFonts w:asciiTheme="majorHAnsi" w:hAnsiTheme="majorHAnsi"/>
          <w:color w:val="0070C0"/>
          <w:sz w:val="32"/>
          <w:szCs w:val="32"/>
        </w:rPr>
        <w:t>n</w:t>
      </w:r>
      <w:r w:rsidR="00B96173">
        <w:rPr>
          <w:rFonts w:asciiTheme="majorHAnsi" w:hAnsiTheme="majorHAnsi"/>
          <w:color w:val="0070C0"/>
          <w:sz w:val="32"/>
          <w:szCs w:val="32"/>
        </w:rPr>
        <w:t>ew data requirements</w:t>
      </w:r>
    </w:p>
    <w:p w14:paraId="77FB51EF" w14:textId="52CB5C52" w:rsidR="0020101A" w:rsidRPr="008E4E39" w:rsidRDefault="001D36D7" w:rsidP="0020101A">
      <w:r w:rsidRPr="008E4E39">
        <w:t>This document</w:t>
      </w:r>
      <w:r w:rsidR="007E4D86" w:rsidRPr="008E4E39">
        <w:t xml:space="preserve"> </w:t>
      </w:r>
      <w:r w:rsidR="00FE5709" w:rsidRPr="008E4E39">
        <w:t xml:space="preserve">provides guidance </w:t>
      </w:r>
      <w:r w:rsidR="00C873C0" w:rsidRPr="008E4E39">
        <w:t>to support</w:t>
      </w:r>
      <w:r w:rsidR="00413173" w:rsidRPr="008E4E39">
        <w:t xml:space="preserve"> transition to the new data requirements</w:t>
      </w:r>
      <w:r w:rsidR="0020101A">
        <w:t xml:space="preserve">. It </w:t>
      </w:r>
      <w:r w:rsidR="0020101A" w:rsidRPr="008E4E39">
        <w:t xml:space="preserve">should be read in conjunction with the Work-based Data Specification and the Data Classifications (reference data) which are both available on the TEC website. </w:t>
      </w:r>
    </w:p>
    <w:p w14:paraId="4C3E9739" w14:textId="461E1D8F" w:rsidR="00413173" w:rsidRPr="008E4E39" w:rsidRDefault="0020101A" w:rsidP="00413173">
      <w:r>
        <w:t>The guidance</w:t>
      </w:r>
      <w:r w:rsidR="00413173" w:rsidRPr="008E4E39">
        <w:t xml:space="preserve"> </w:t>
      </w:r>
      <w:r>
        <w:t>provides guidance on:</w:t>
      </w:r>
    </w:p>
    <w:p w14:paraId="183C356F" w14:textId="06F3C6CF" w:rsidR="00413173" w:rsidRPr="008E4E39" w:rsidRDefault="00037942" w:rsidP="00413173">
      <w:pPr>
        <w:pStyle w:val="ListParagraph"/>
        <w:numPr>
          <w:ilvl w:val="0"/>
          <w:numId w:val="16"/>
        </w:numPr>
      </w:pPr>
      <w:r w:rsidRPr="008E4E39">
        <w:t>Is</w:t>
      </w:r>
      <w:r w:rsidR="00413173" w:rsidRPr="008E4E39">
        <w:t xml:space="preserve"> the field mandatory from </w:t>
      </w:r>
      <w:r w:rsidR="00F2672F">
        <w:t>4 August</w:t>
      </w:r>
      <w:r w:rsidR="00413173" w:rsidRPr="008E4E39">
        <w:t xml:space="preserve"> 2025? Is the field mandatory in certain circumstances?</w:t>
      </w:r>
    </w:p>
    <w:p w14:paraId="648F956A" w14:textId="77777777" w:rsidR="008E4E39" w:rsidRDefault="00413173" w:rsidP="00413173">
      <w:pPr>
        <w:pStyle w:val="ListParagraph"/>
        <w:numPr>
          <w:ilvl w:val="0"/>
          <w:numId w:val="16"/>
        </w:numPr>
      </w:pPr>
      <w:r w:rsidRPr="008E4E39">
        <w:t xml:space="preserve">For existing records </w:t>
      </w:r>
      <w:r w:rsidR="006C45C3" w:rsidRPr="008E4E39">
        <w:t>(learners, programmes, training agreements and enrolments)</w:t>
      </w:r>
      <w:r w:rsidR="008E4E39">
        <w:t>;</w:t>
      </w:r>
    </w:p>
    <w:p w14:paraId="24F2FAE0" w14:textId="3DB369D0" w:rsidR="008E4E39" w:rsidRDefault="008E4E39" w:rsidP="008E4E39">
      <w:pPr>
        <w:pStyle w:val="ListParagraph"/>
        <w:numPr>
          <w:ilvl w:val="1"/>
          <w:numId w:val="16"/>
        </w:numPr>
      </w:pPr>
      <w:r>
        <w:t>Has</w:t>
      </w:r>
      <w:r w:rsidR="00413173" w:rsidRPr="008E4E39">
        <w:t xml:space="preserve"> the </w:t>
      </w:r>
      <w:r w:rsidR="006D0071">
        <w:t>TEC</w:t>
      </w:r>
      <w:r w:rsidR="006D0071" w:rsidRPr="008E4E39">
        <w:t xml:space="preserve"> </w:t>
      </w:r>
      <w:r w:rsidR="00413173">
        <w:t>backfill</w:t>
      </w:r>
      <w:r>
        <w:t>ed</w:t>
      </w:r>
      <w:r w:rsidR="006C45C3" w:rsidRPr="008E4E39">
        <w:t xml:space="preserve"> the new field</w:t>
      </w:r>
      <w:r w:rsidR="00413173" w:rsidRPr="008E4E39">
        <w:t>?</w:t>
      </w:r>
    </w:p>
    <w:p w14:paraId="58DAA0FD" w14:textId="0308CB8A" w:rsidR="00413173" w:rsidRPr="008E4E39" w:rsidRDefault="008E4E39" w:rsidP="008E4E39">
      <w:pPr>
        <w:pStyle w:val="ListParagraph"/>
        <w:numPr>
          <w:ilvl w:val="1"/>
          <w:numId w:val="16"/>
        </w:numPr>
      </w:pPr>
      <w:r>
        <w:t xml:space="preserve">Can the new </w:t>
      </w:r>
      <w:r w:rsidR="00413173" w:rsidRPr="008E4E39">
        <w:t>field</w:t>
      </w:r>
      <w:r w:rsidR="00E4105F" w:rsidRPr="008E4E39">
        <w:t>s</w:t>
      </w:r>
      <w:r w:rsidR="00413173" w:rsidRPr="008E4E39">
        <w:t xml:space="preserve"> be left blank</w:t>
      </w:r>
      <w:r>
        <w:t xml:space="preserve"> </w:t>
      </w:r>
      <w:r w:rsidR="00E502BE">
        <w:t xml:space="preserve">(for existing learners) </w:t>
      </w:r>
      <w:r>
        <w:t>when updating other data fields</w:t>
      </w:r>
      <w:r w:rsidR="00413173" w:rsidRPr="008E4E39">
        <w:t>?</w:t>
      </w:r>
    </w:p>
    <w:p w14:paraId="1BC532E3" w14:textId="6856D3F5" w:rsidR="00F26ECA" w:rsidRPr="0020101A" w:rsidRDefault="00F26ECA" w:rsidP="00F26ECA">
      <w:pPr>
        <w:rPr>
          <w:b/>
        </w:rPr>
      </w:pPr>
      <w:r w:rsidRPr="0020101A">
        <w:rPr>
          <w:b/>
        </w:rPr>
        <w:t>Fields backfilled by TEC</w:t>
      </w:r>
    </w:p>
    <w:p w14:paraId="6C235AE4" w14:textId="17F8BA5F" w:rsidR="001149F5" w:rsidRPr="0004419D" w:rsidRDefault="0020101A" w:rsidP="00F26ECA">
      <w:pPr>
        <w:rPr>
          <w:rFonts w:cs="Calibri"/>
        </w:rPr>
      </w:pPr>
      <w:r>
        <w:rPr>
          <w:bCs/>
        </w:rPr>
        <w:t>We</w:t>
      </w:r>
      <w:r w:rsidR="00F26ECA">
        <w:rPr>
          <w:bCs/>
        </w:rPr>
        <w:t xml:space="preserve"> </w:t>
      </w:r>
      <w:r w:rsidR="00F26ECA" w:rsidRPr="0004419D">
        <w:rPr>
          <w:bCs/>
        </w:rPr>
        <w:t xml:space="preserve">recommend </w:t>
      </w:r>
      <w:r w:rsidR="001149F5" w:rsidRPr="0004419D">
        <w:rPr>
          <w:rFonts w:cs="Calibri"/>
        </w:rPr>
        <w:t xml:space="preserve">you or your TMS vendor take a backup of data </w:t>
      </w:r>
      <w:r w:rsidR="00602F0E" w:rsidRPr="0004419D">
        <w:rPr>
          <w:rFonts w:cs="Calibri"/>
          <w:b/>
        </w:rPr>
        <w:t>after</w:t>
      </w:r>
      <w:r w:rsidR="00602F0E" w:rsidRPr="0004419D">
        <w:rPr>
          <w:rFonts w:cs="Calibri"/>
        </w:rPr>
        <w:t xml:space="preserve"> TEC has complete</w:t>
      </w:r>
      <w:r w:rsidR="00F171FA" w:rsidRPr="0004419D">
        <w:rPr>
          <w:rFonts w:cs="Calibri"/>
        </w:rPr>
        <w:t>d</w:t>
      </w:r>
      <w:r w:rsidR="00602F0E" w:rsidRPr="0004419D">
        <w:rPr>
          <w:rFonts w:cs="Calibri"/>
        </w:rPr>
        <w:t xml:space="preserve"> the final data </w:t>
      </w:r>
      <w:r w:rsidR="001149F5" w:rsidRPr="0004419D">
        <w:rPr>
          <w:rFonts w:cs="Calibri"/>
        </w:rPr>
        <w:t>migration</w:t>
      </w:r>
      <w:r w:rsidR="00602F0E" w:rsidRPr="0004419D">
        <w:rPr>
          <w:rFonts w:cs="Calibri"/>
        </w:rPr>
        <w:t xml:space="preserve">. </w:t>
      </w:r>
      <w:r w:rsidRPr="0004419D">
        <w:rPr>
          <w:rFonts w:ascii="Calibri" w:hAnsi="Calibri" w:cs="Calibri"/>
        </w:rPr>
        <w:t xml:space="preserve"> This will provide you with a full view of data we hold, including</w:t>
      </w:r>
      <w:r w:rsidR="00282C52" w:rsidRPr="0004419D">
        <w:rPr>
          <w:rFonts w:ascii="Calibri" w:hAnsi="Calibri" w:cs="Calibri"/>
        </w:rPr>
        <w:t xml:space="preserve"> the</w:t>
      </w:r>
      <w:r w:rsidRPr="0004419D">
        <w:rPr>
          <w:rFonts w:ascii="Calibri" w:hAnsi="Calibri" w:cs="Calibri"/>
        </w:rPr>
        <w:t xml:space="preserve"> data we have backfilled </w:t>
      </w:r>
      <w:r w:rsidR="00282C52" w:rsidRPr="0004419D">
        <w:rPr>
          <w:rFonts w:ascii="Calibri" w:hAnsi="Calibri" w:cs="Calibri"/>
        </w:rPr>
        <w:t xml:space="preserve">into new fields </w:t>
      </w:r>
      <w:r w:rsidRPr="0004419D">
        <w:rPr>
          <w:rFonts w:ascii="Calibri" w:hAnsi="Calibri" w:cs="Calibri"/>
        </w:rPr>
        <w:t xml:space="preserve">(see tables below). </w:t>
      </w:r>
      <w:r w:rsidR="00602F0E" w:rsidRPr="0004419D">
        <w:rPr>
          <w:rFonts w:ascii="Calibri" w:hAnsi="Calibri" w:cs="Calibri"/>
        </w:rPr>
        <w:t>The backup can be used</w:t>
      </w:r>
      <w:r w:rsidR="001149F5" w:rsidRPr="0004419D">
        <w:rPr>
          <w:rFonts w:ascii="Calibri" w:hAnsi="Calibri" w:cs="Calibri"/>
        </w:rPr>
        <w:t xml:space="preserve"> to </w:t>
      </w:r>
      <w:r w:rsidR="00F171FA" w:rsidRPr="0004419D">
        <w:rPr>
          <w:rFonts w:ascii="Calibri" w:hAnsi="Calibri" w:cs="Calibri"/>
        </w:rPr>
        <w:t>add</w:t>
      </w:r>
      <w:r w:rsidR="001149F5" w:rsidRPr="0004419D">
        <w:rPr>
          <w:rFonts w:ascii="Calibri" w:hAnsi="Calibri" w:cs="Calibri"/>
        </w:rPr>
        <w:t xml:space="preserve"> </w:t>
      </w:r>
      <w:r w:rsidRPr="0004419D">
        <w:rPr>
          <w:rFonts w:ascii="Calibri" w:hAnsi="Calibri" w:cs="Calibri"/>
        </w:rPr>
        <w:t xml:space="preserve">backfilled </w:t>
      </w:r>
      <w:r w:rsidR="001149F5" w:rsidRPr="0004419D">
        <w:rPr>
          <w:rFonts w:ascii="Calibri" w:hAnsi="Calibri" w:cs="Calibri"/>
        </w:rPr>
        <w:t xml:space="preserve">data </w:t>
      </w:r>
      <w:r w:rsidR="00F171FA" w:rsidRPr="0004419D">
        <w:rPr>
          <w:rFonts w:ascii="Calibri" w:hAnsi="Calibri" w:cs="Calibri"/>
        </w:rPr>
        <w:t>to your own</w:t>
      </w:r>
      <w:r w:rsidR="001149F5" w:rsidRPr="0004419D">
        <w:rPr>
          <w:rFonts w:ascii="Calibri" w:hAnsi="Calibri" w:cs="Calibri"/>
        </w:rPr>
        <w:t xml:space="preserve"> TMS</w:t>
      </w:r>
      <w:r w:rsidRPr="0004419D">
        <w:rPr>
          <w:rFonts w:ascii="Calibri" w:hAnsi="Calibri" w:cs="Calibri"/>
        </w:rPr>
        <w:t xml:space="preserve"> if needed</w:t>
      </w:r>
      <w:r w:rsidR="00F171FA" w:rsidRPr="0004419D">
        <w:rPr>
          <w:rFonts w:ascii="Calibri" w:hAnsi="Calibri" w:cs="Calibri"/>
        </w:rPr>
        <w:t>, and/</w:t>
      </w:r>
      <w:r w:rsidR="001149F5" w:rsidRPr="0004419D">
        <w:rPr>
          <w:rFonts w:ascii="Calibri" w:hAnsi="Calibri" w:cs="Calibri"/>
        </w:rPr>
        <w:t xml:space="preserve">or </w:t>
      </w:r>
      <w:r w:rsidR="00F171FA" w:rsidRPr="0004419D">
        <w:rPr>
          <w:rFonts w:ascii="Calibri" w:hAnsi="Calibri" w:cs="Calibri"/>
        </w:rPr>
        <w:t>to check</w:t>
      </w:r>
      <w:r w:rsidRPr="0004419D">
        <w:rPr>
          <w:rFonts w:ascii="Calibri" w:hAnsi="Calibri" w:cs="Calibri"/>
        </w:rPr>
        <w:t xml:space="preserve"> against </w:t>
      </w:r>
      <w:r w:rsidR="00282C52" w:rsidRPr="0004419D">
        <w:rPr>
          <w:rFonts w:ascii="Calibri" w:hAnsi="Calibri" w:cs="Calibri"/>
        </w:rPr>
        <w:t xml:space="preserve">– for example </w:t>
      </w:r>
      <w:r w:rsidRPr="0004419D">
        <w:rPr>
          <w:rFonts w:ascii="Calibri" w:hAnsi="Calibri" w:cs="Calibri"/>
        </w:rPr>
        <w:t>if you inadvertently over-write backfilled data after go-live and this results in v</w:t>
      </w:r>
      <w:r w:rsidR="00F171FA" w:rsidRPr="0004419D">
        <w:rPr>
          <w:rFonts w:ascii="Calibri" w:hAnsi="Calibri" w:cs="Calibri"/>
        </w:rPr>
        <w:t xml:space="preserve">alidation </w:t>
      </w:r>
      <w:r w:rsidRPr="0004419D">
        <w:rPr>
          <w:rFonts w:ascii="Calibri" w:hAnsi="Calibri" w:cs="Calibri"/>
        </w:rPr>
        <w:t>errors.</w:t>
      </w:r>
    </w:p>
    <w:p w14:paraId="4DD2DB3D" w14:textId="5F8AA644" w:rsidR="001149F5" w:rsidRDefault="00F171FA" w:rsidP="00C873C0">
      <w:r>
        <w:t xml:space="preserve">You can access the endpoints to “GET all” within each section of the data </w:t>
      </w:r>
      <w:hyperlink r:id="rId7" w:history="1">
        <w:r w:rsidRPr="00F171FA">
          <w:rPr>
            <w:rStyle w:val="Hyperlink"/>
          </w:rPr>
          <w:t>here</w:t>
        </w:r>
      </w:hyperlink>
      <w:r>
        <w:t xml:space="preserve">. </w:t>
      </w:r>
      <w:r w:rsidRPr="00817457">
        <w:t>(See also the screenshot</w:t>
      </w:r>
      <w:r w:rsidR="00817457">
        <w:t xml:space="preserve"> in the appendix.)</w:t>
      </w:r>
      <w:r w:rsidRPr="00817457">
        <w:t xml:space="preserve"> </w:t>
      </w:r>
    </w:p>
    <w:p w14:paraId="1417E6DE" w14:textId="7659B74D" w:rsidR="00874F68" w:rsidRDefault="008C7283" w:rsidP="00874F68">
      <w:pPr>
        <w:rPr>
          <w:b/>
          <w:color w:val="215E99" w:themeColor="text2" w:themeTint="BF"/>
          <w:sz w:val="24"/>
          <w:szCs w:val="24"/>
        </w:rPr>
      </w:pPr>
      <w:r>
        <w:rPr>
          <w:b/>
          <w:color w:val="215E99" w:themeColor="text2" w:themeTint="BF"/>
          <w:sz w:val="24"/>
          <w:szCs w:val="24"/>
        </w:rPr>
        <w:t xml:space="preserve">New </w:t>
      </w:r>
      <w:r w:rsidR="00874F68" w:rsidRPr="00590E2E">
        <w:rPr>
          <w:b/>
          <w:color w:val="215E99" w:themeColor="text2" w:themeTint="BF"/>
          <w:sz w:val="24"/>
          <w:szCs w:val="24"/>
        </w:rPr>
        <w:t>Learner</w:t>
      </w:r>
      <w:r>
        <w:rPr>
          <w:b/>
          <w:color w:val="215E99" w:themeColor="text2" w:themeTint="BF"/>
          <w:sz w:val="24"/>
          <w:szCs w:val="24"/>
        </w:rPr>
        <w:t xml:space="preserve"> f</w:t>
      </w:r>
      <w:r w:rsidR="006708A5">
        <w:rPr>
          <w:b/>
          <w:color w:val="215E99" w:themeColor="text2" w:themeTint="BF"/>
          <w:sz w:val="24"/>
          <w:szCs w:val="24"/>
        </w:rPr>
        <w:t>ie</w:t>
      </w:r>
      <w:r>
        <w:rPr>
          <w:b/>
          <w:color w:val="215E99" w:themeColor="text2" w:themeTint="BF"/>
          <w:sz w:val="24"/>
          <w:szCs w:val="24"/>
        </w:rPr>
        <w:t>lds</w:t>
      </w:r>
    </w:p>
    <w:p w14:paraId="602DFCEF" w14:textId="77477894" w:rsidR="00335E53" w:rsidRDefault="00D35E30" w:rsidP="009769CA">
      <w:pPr>
        <w:pStyle w:val="ListParagraph"/>
        <w:numPr>
          <w:ilvl w:val="1"/>
          <w:numId w:val="30"/>
        </w:numPr>
        <w:rPr>
          <w:rFonts w:cs="Calibri"/>
        </w:rPr>
      </w:pPr>
      <w:r w:rsidRPr="00817457">
        <w:rPr>
          <w:rFonts w:cs="Calibri"/>
        </w:rPr>
        <w:t xml:space="preserve">From </w:t>
      </w:r>
      <w:r w:rsidR="00F2672F" w:rsidRPr="00817457">
        <w:rPr>
          <w:rFonts w:cs="Calibri"/>
        </w:rPr>
        <w:t>4 August</w:t>
      </w:r>
      <w:r w:rsidRPr="00817457">
        <w:rPr>
          <w:rFonts w:cs="Calibri"/>
        </w:rPr>
        <w:t xml:space="preserve"> 2025 most new learner fields are </w:t>
      </w:r>
      <w:r w:rsidR="00F51551" w:rsidRPr="00817457">
        <w:rPr>
          <w:rFonts w:cs="Calibri"/>
        </w:rPr>
        <w:t>mandatory</w:t>
      </w:r>
      <w:r w:rsidR="00084C17" w:rsidRPr="00817457">
        <w:rPr>
          <w:rFonts w:cs="Calibri"/>
        </w:rPr>
        <w:t xml:space="preserve"> -</w:t>
      </w:r>
      <w:r w:rsidR="007457CC" w:rsidRPr="00817457">
        <w:rPr>
          <w:rFonts w:cs="Calibri"/>
        </w:rPr>
        <w:t xml:space="preserve"> </w:t>
      </w:r>
      <w:r w:rsidRPr="00817457">
        <w:rPr>
          <w:rFonts w:cs="Calibri"/>
        </w:rPr>
        <w:t xml:space="preserve">see </w:t>
      </w:r>
      <w:r w:rsidR="007457CC" w:rsidRPr="00817457">
        <w:rPr>
          <w:rFonts w:cs="Calibri"/>
        </w:rPr>
        <w:t>below</w:t>
      </w:r>
      <w:r w:rsidR="009E44F2" w:rsidRPr="00817457">
        <w:rPr>
          <w:rFonts w:cs="Calibri"/>
        </w:rPr>
        <w:t xml:space="preserve">. </w:t>
      </w:r>
      <w:r w:rsidR="00582BBE" w:rsidRPr="00817457">
        <w:rPr>
          <w:rFonts w:cs="Calibri"/>
        </w:rPr>
        <w:t xml:space="preserve">The mandatory requirement applies to </w:t>
      </w:r>
      <w:r w:rsidR="002F6E8B" w:rsidRPr="00817457">
        <w:rPr>
          <w:rFonts w:cs="Calibri"/>
        </w:rPr>
        <w:t>new learners and when creating a new Training Agreement for</w:t>
      </w:r>
      <w:r w:rsidR="00084C17" w:rsidRPr="00817457">
        <w:rPr>
          <w:rFonts w:cs="Calibri"/>
        </w:rPr>
        <w:t xml:space="preserve"> an</w:t>
      </w:r>
      <w:r w:rsidR="002F6E8B" w:rsidRPr="00817457">
        <w:rPr>
          <w:rFonts w:cs="Calibri"/>
        </w:rPr>
        <w:t xml:space="preserve"> existing learner.</w:t>
      </w:r>
      <w:r w:rsidR="00CC1D70" w:rsidRPr="00817457">
        <w:rPr>
          <w:rFonts w:cs="Calibri"/>
        </w:rPr>
        <w:t xml:space="preserve"> </w:t>
      </w:r>
    </w:p>
    <w:tbl>
      <w:tblPr>
        <w:tblStyle w:val="TableGrid"/>
        <w:tblW w:w="5130" w:type="pct"/>
        <w:tblLook w:val="04A0" w:firstRow="1" w:lastRow="0" w:firstColumn="1" w:lastColumn="0" w:noHBand="0" w:noVBand="1"/>
      </w:tblPr>
      <w:tblGrid>
        <w:gridCol w:w="2405"/>
        <w:gridCol w:w="4961"/>
        <w:gridCol w:w="3401"/>
        <w:gridCol w:w="3544"/>
      </w:tblGrid>
      <w:tr w:rsidR="00397FBA" w:rsidRPr="000D0EC5" w14:paraId="0CFF0429" w14:textId="77777777" w:rsidTr="00282C52">
        <w:trPr>
          <w:trHeight w:val="300"/>
          <w:tblHeader/>
        </w:trPr>
        <w:tc>
          <w:tcPr>
            <w:tcW w:w="840" w:type="pct"/>
            <w:shd w:val="clear" w:color="auto" w:fill="CAEDFB" w:themeFill="accent4" w:themeFillTint="33"/>
          </w:tcPr>
          <w:p w14:paraId="752E7DFA" w14:textId="3A109191" w:rsidR="001D36D7" w:rsidRPr="001D36D7" w:rsidRDefault="001D36D7" w:rsidP="00D12599">
            <w:pPr>
              <w:rPr>
                <w:rFonts w:ascii="Calibri" w:hAnsi="Calibri" w:cs="Calibri"/>
                <w:b/>
              </w:rPr>
            </w:pPr>
            <w:r w:rsidRPr="001D36D7">
              <w:rPr>
                <w:rFonts w:ascii="Calibri" w:hAnsi="Calibri" w:cs="Calibri"/>
                <w:b/>
              </w:rPr>
              <w:t>New data requirements</w:t>
            </w:r>
          </w:p>
        </w:tc>
        <w:tc>
          <w:tcPr>
            <w:tcW w:w="1733" w:type="pct"/>
            <w:shd w:val="clear" w:color="auto" w:fill="CAEDFB" w:themeFill="accent4" w:themeFillTint="33"/>
          </w:tcPr>
          <w:p w14:paraId="5BDBDB8A" w14:textId="7743010A" w:rsidR="001D36D7" w:rsidRPr="001D36D7" w:rsidRDefault="001D36D7" w:rsidP="00D12599">
            <w:pPr>
              <w:rPr>
                <w:rFonts w:ascii="Calibri" w:hAnsi="Calibri" w:cs="Calibri"/>
                <w:b/>
              </w:rPr>
            </w:pPr>
            <w:r w:rsidRPr="001D36D7">
              <w:rPr>
                <w:rFonts w:ascii="Calibri" w:hAnsi="Calibri" w:cs="Calibri"/>
                <w:b/>
              </w:rPr>
              <w:t>Purpose / change</w:t>
            </w:r>
          </w:p>
        </w:tc>
        <w:tc>
          <w:tcPr>
            <w:tcW w:w="1188" w:type="pct"/>
            <w:shd w:val="clear" w:color="auto" w:fill="CAEDFB" w:themeFill="accent4" w:themeFillTint="33"/>
          </w:tcPr>
          <w:p w14:paraId="332BD1E7" w14:textId="3EBD94EB" w:rsidR="001D36D7" w:rsidRPr="001D36D7" w:rsidRDefault="009F05E7" w:rsidP="00D12599">
            <w:pPr>
              <w:rPr>
                <w:rFonts w:ascii="Calibri" w:hAnsi="Calibri" w:cs="Calibri"/>
                <w:b/>
              </w:rPr>
            </w:pPr>
            <w:r w:rsidRPr="001D36D7">
              <w:rPr>
                <w:rFonts w:ascii="Calibri" w:hAnsi="Calibri" w:cs="Calibri"/>
                <w:b/>
              </w:rPr>
              <w:t>Mandatory</w:t>
            </w:r>
            <w:r>
              <w:rPr>
                <w:rFonts w:ascii="Calibri" w:hAnsi="Calibri" w:cs="Calibri"/>
                <w:b/>
              </w:rPr>
              <w:t xml:space="preserve"> from </w:t>
            </w:r>
            <w:r w:rsidR="00F2672F">
              <w:rPr>
                <w:rFonts w:ascii="Calibri" w:hAnsi="Calibri" w:cs="Calibri"/>
                <w:b/>
              </w:rPr>
              <w:t>4 August</w:t>
            </w:r>
            <w:r>
              <w:rPr>
                <w:rFonts w:ascii="Calibri" w:hAnsi="Calibri" w:cs="Calibri"/>
                <w:b/>
              </w:rPr>
              <w:t xml:space="preserve"> – updating existing learners</w:t>
            </w:r>
          </w:p>
        </w:tc>
        <w:tc>
          <w:tcPr>
            <w:tcW w:w="1238" w:type="pct"/>
            <w:shd w:val="clear" w:color="auto" w:fill="CAEDFB" w:themeFill="accent4" w:themeFillTint="33"/>
          </w:tcPr>
          <w:p w14:paraId="1D412837" w14:textId="79853943" w:rsidR="001D36D7" w:rsidRPr="001D36D7" w:rsidRDefault="001D36D7" w:rsidP="00D12599">
            <w:pPr>
              <w:rPr>
                <w:rFonts w:ascii="Calibri" w:hAnsi="Calibri" w:cs="Calibri"/>
                <w:b/>
              </w:rPr>
            </w:pPr>
            <w:r w:rsidRPr="001D36D7">
              <w:rPr>
                <w:rFonts w:ascii="Calibri" w:hAnsi="Calibri" w:cs="Calibri"/>
                <w:b/>
              </w:rPr>
              <w:t>Mandatory</w:t>
            </w:r>
            <w:r>
              <w:rPr>
                <w:rFonts w:ascii="Calibri" w:hAnsi="Calibri" w:cs="Calibri"/>
                <w:b/>
              </w:rPr>
              <w:t xml:space="preserve"> from </w:t>
            </w:r>
            <w:r w:rsidR="005A0E3B">
              <w:rPr>
                <w:rFonts w:ascii="Calibri" w:hAnsi="Calibri" w:cs="Calibri"/>
                <w:b/>
              </w:rPr>
              <w:t>4 August</w:t>
            </w:r>
            <w:r w:rsidR="001126B9">
              <w:rPr>
                <w:rFonts w:ascii="Calibri" w:hAnsi="Calibri" w:cs="Calibri"/>
                <w:b/>
              </w:rPr>
              <w:t xml:space="preserve"> </w:t>
            </w:r>
            <w:r w:rsidR="009F05E7">
              <w:rPr>
                <w:rFonts w:ascii="Calibri" w:hAnsi="Calibri" w:cs="Calibri"/>
                <w:b/>
              </w:rPr>
              <w:t>– new learners</w:t>
            </w:r>
          </w:p>
        </w:tc>
      </w:tr>
      <w:tr w:rsidR="00397FBA" w:rsidRPr="000D0EC5" w14:paraId="546D359A" w14:textId="77777777" w:rsidTr="00B113BF">
        <w:trPr>
          <w:cantSplit/>
          <w:trHeight w:val="300"/>
        </w:trPr>
        <w:tc>
          <w:tcPr>
            <w:tcW w:w="840" w:type="pct"/>
          </w:tcPr>
          <w:p w14:paraId="2E4F48DA" w14:textId="127545FB" w:rsidR="001D36D7" w:rsidRPr="001D36D7" w:rsidRDefault="001D36D7" w:rsidP="00D12599">
            <w:pPr>
              <w:rPr>
                <w:rFonts w:ascii="Calibri" w:hAnsi="Calibri" w:cs="Calibri"/>
              </w:rPr>
            </w:pPr>
            <w:r w:rsidRPr="001D36D7">
              <w:rPr>
                <w:rFonts w:ascii="Calibri" w:hAnsi="Calibri" w:cs="Calibri"/>
              </w:rPr>
              <w:t>Learner IR number</w:t>
            </w:r>
          </w:p>
        </w:tc>
        <w:tc>
          <w:tcPr>
            <w:tcW w:w="1733" w:type="pct"/>
          </w:tcPr>
          <w:p w14:paraId="4CA966DE" w14:textId="77777777" w:rsidR="001D36D7" w:rsidRPr="001D36D7" w:rsidRDefault="001D36D7" w:rsidP="00D12599">
            <w:pPr>
              <w:rPr>
                <w:rFonts w:ascii="Calibri" w:hAnsi="Calibri" w:cs="Calibri"/>
              </w:rPr>
            </w:pPr>
            <w:r w:rsidRPr="001D36D7">
              <w:rPr>
                <w:rFonts w:ascii="Calibri" w:hAnsi="Calibri" w:cs="Calibri"/>
              </w:rPr>
              <w:t xml:space="preserve">For Fees Free </w:t>
            </w:r>
          </w:p>
          <w:p w14:paraId="4816A4D7" w14:textId="102C2E45" w:rsidR="001D36D7" w:rsidRPr="001D36D7" w:rsidRDefault="001D36D7" w:rsidP="00D12599">
            <w:pPr>
              <w:rPr>
                <w:rFonts w:ascii="Calibri" w:hAnsi="Calibri" w:cs="Calibri"/>
              </w:rPr>
            </w:pPr>
          </w:p>
        </w:tc>
        <w:tc>
          <w:tcPr>
            <w:tcW w:w="1188" w:type="pct"/>
          </w:tcPr>
          <w:p w14:paraId="7AE62DBE" w14:textId="6D9100FE" w:rsidR="001D36D7" w:rsidRPr="001D36D7" w:rsidRDefault="00B55AC5" w:rsidP="00D12599">
            <w:pPr>
              <w:rPr>
                <w:rFonts w:ascii="Calibri" w:hAnsi="Calibri" w:cs="Calibri"/>
              </w:rPr>
            </w:pPr>
            <w:r w:rsidRPr="001D36D7">
              <w:rPr>
                <w:rFonts w:ascii="Calibri" w:hAnsi="Calibri" w:cs="Calibri"/>
              </w:rPr>
              <w:t>No</w:t>
            </w:r>
            <w:r w:rsidR="00223D6D">
              <w:rPr>
                <w:rFonts w:ascii="Calibri" w:hAnsi="Calibri" w:cs="Calibri"/>
              </w:rPr>
              <w:t xml:space="preserve">, however it is expected that TEOs will make best effort to </w:t>
            </w:r>
            <w:r w:rsidR="00BC555F">
              <w:rPr>
                <w:rFonts w:ascii="Calibri" w:hAnsi="Calibri" w:cs="Calibri"/>
              </w:rPr>
              <w:t xml:space="preserve">the </w:t>
            </w:r>
            <w:r w:rsidR="00223D6D">
              <w:rPr>
                <w:rFonts w:ascii="Calibri" w:hAnsi="Calibri" w:cs="Calibri"/>
              </w:rPr>
              <w:t xml:space="preserve">collect IR number </w:t>
            </w:r>
            <w:r w:rsidR="001C4CE2">
              <w:rPr>
                <w:rFonts w:ascii="Calibri" w:hAnsi="Calibri" w:cs="Calibri"/>
              </w:rPr>
              <w:t>for learners identified as potentially eligible.</w:t>
            </w:r>
          </w:p>
        </w:tc>
        <w:tc>
          <w:tcPr>
            <w:tcW w:w="1238" w:type="pct"/>
          </w:tcPr>
          <w:p w14:paraId="4249395C" w14:textId="6EE00A08" w:rsidR="001D36D7" w:rsidRPr="001D36D7" w:rsidRDefault="001D36D7" w:rsidP="00D12599">
            <w:pPr>
              <w:rPr>
                <w:rFonts w:ascii="Calibri" w:hAnsi="Calibri" w:cs="Calibri"/>
              </w:rPr>
            </w:pPr>
            <w:r w:rsidRPr="001D36D7">
              <w:rPr>
                <w:rFonts w:ascii="Calibri" w:hAnsi="Calibri" w:cs="Calibri"/>
              </w:rPr>
              <w:t xml:space="preserve">No, </w:t>
            </w:r>
            <w:r w:rsidR="00FA70AD">
              <w:rPr>
                <w:rFonts w:ascii="Calibri" w:hAnsi="Calibri" w:cs="Calibri"/>
              </w:rPr>
              <w:t xml:space="preserve">however </w:t>
            </w:r>
            <w:r w:rsidR="00387096">
              <w:rPr>
                <w:rFonts w:ascii="Calibri" w:hAnsi="Calibri" w:cs="Calibri"/>
              </w:rPr>
              <w:t xml:space="preserve">it is expected that TEOs will make best effort to collect </w:t>
            </w:r>
            <w:r w:rsidR="00E232BA">
              <w:rPr>
                <w:rFonts w:ascii="Calibri" w:hAnsi="Calibri" w:cs="Calibri"/>
              </w:rPr>
              <w:t>IR number as it</w:t>
            </w:r>
            <w:r w:rsidRPr="001D36D7">
              <w:rPr>
                <w:rFonts w:ascii="Calibri" w:hAnsi="Calibri" w:cs="Calibri"/>
              </w:rPr>
              <w:t xml:space="preserve"> is required </w:t>
            </w:r>
            <w:r w:rsidR="00E232BA">
              <w:rPr>
                <w:rFonts w:ascii="Calibri" w:hAnsi="Calibri" w:cs="Calibri"/>
              </w:rPr>
              <w:t xml:space="preserve">for </w:t>
            </w:r>
            <w:r w:rsidR="00FA70AD">
              <w:rPr>
                <w:rFonts w:ascii="Calibri" w:hAnsi="Calibri" w:cs="Calibri"/>
              </w:rPr>
              <w:t xml:space="preserve">eligible </w:t>
            </w:r>
            <w:r w:rsidRPr="001D36D7">
              <w:rPr>
                <w:rFonts w:ascii="Calibri" w:hAnsi="Calibri" w:cs="Calibri"/>
              </w:rPr>
              <w:t>learner</w:t>
            </w:r>
            <w:r w:rsidR="00FA70AD">
              <w:rPr>
                <w:rFonts w:ascii="Calibri" w:hAnsi="Calibri" w:cs="Calibri"/>
              </w:rPr>
              <w:t>s</w:t>
            </w:r>
            <w:r>
              <w:rPr>
                <w:rFonts w:ascii="Calibri" w:hAnsi="Calibri" w:cs="Calibri"/>
              </w:rPr>
              <w:t xml:space="preserve"> to claim a final year Fees Free entitlement.</w:t>
            </w:r>
          </w:p>
        </w:tc>
      </w:tr>
      <w:tr w:rsidR="00397FBA" w:rsidRPr="000D0EC5" w14:paraId="35A7245A" w14:textId="77777777" w:rsidTr="00B113BF">
        <w:trPr>
          <w:cantSplit/>
          <w:trHeight w:val="300"/>
        </w:trPr>
        <w:tc>
          <w:tcPr>
            <w:tcW w:w="840" w:type="pct"/>
          </w:tcPr>
          <w:p w14:paraId="7CAE37EC" w14:textId="217924A4" w:rsidR="001D36D7" w:rsidRPr="001D36D7" w:rsidRDefault="001D36D7" w:rsidP="00D12599">
            <w:pPr>
              <w:rPr>
                <w:rFonts w:ascii="Calibri" w:hAnsi="Calibri" w:cs="Calibri"/>
              </w:rPr>
            </w:pPr>
            <w:r w:rsidRPr="001D36D7">
              <w:rPr>
                <w:rFonts w:ascii="Calibri" w:hAnsi="Calibri" w:cs="Calibri"/>
              </w:rPr>
              <w:t>Gender</w:t>
            </w:r>
          </w:p>
        </w:tc>
        <w:tc>
          <w:tcPr>
            <w:tcW w:w="1733" w:type="pct"/>
          </w:tcPr>
          <w:p w14:paraId="59CB513F" w14:textId="7B834264" w:rsidR="001D36D7" w:rsidRPr="001D36D7" w:rsidRDefault="001D36D7" w:rsidP="00D12599">
            <w:pPr>
              <w:rPr>
                <w:rFonts w:ascii="Calibri" w:hAnsi="Calibri" w:cs="Calibri"/>
              </w:rPr>
            </w:pPr>
            <w:r w:rsidRPr="001D36D7">
              <w:rPr>
                <w:rFonts w:ascii="Calibri" w:hAnsi="Calibri" w:cs="Calibri"/>
              </w:rPr>
              <w:t>To improve learner validations</w:t>
            </w:r>
          </w:p>
        </w:tc>
        <w:tc>
          <w:tcPr>
            <w:tcW w:w="1188" w:type="pct"/>
          </w:tcPr>
          <w:p w14:paraId="21A471AE" w14:textId="5F8D38D4" w:rsidR="001D36D7" w:rsidRPr="001D36D7" w:rsidRDefault="001D36D7" w:rsidP="00D12599">
            <w:pPr>
              <w:rPr>
                <w:rFonts w:ascii="Calibri" w:hAnsi="Calibri" w:cs="Calibri"/>
              </w:rPr>
            </w:pPr>
            <w:r w:rsidRPr="001D36D7">
              <w:rPr>
                <w:rFonts w:ascii="Calibri" w:hAnsi="Calibri" w:cs="Calibri"/>
              </w:rPr>
              <w:t>No</w:t>
            </w:r>
          </w:p>
        </w:tc>
        <w:tc>
          <w:tcPr>
            <w:tcW w:w="1238" w:type="pct"/>
          </w:tcPr>
          <w:p w14:paraId="40399835" w14:textId="11400B09" w:rsidR="001D36D7" w:rsidRPr="001D36D7" w:rsidRDefault="001D36D7" w:rsidP="00D12599">
            <w:pPr>
              <w:rPr>
                <w:rFonts w:ascii="Calibri" w:hAnsi="Calibri" w:cs="Calibri"/>
              </w:rPr>
            </w:pPr>
            <w:r w:rsidRPr="001D36D7">
              <w:rPr>
                <w:rFonts w:ascii="Calibri" w:hAnsi="Calibri" w:cs="Calibri"/>
              </w:rPr>
              <w:t>Yes</w:t>
            </w:r>
          </w:p>
        </w:tc>
      </w:tr>
      <w:tr w:rsidR="00397FBA" w:rsidRPr="000D0EC5" w14:paraId="0B52C3AD" w14:textId="77777777" w:rsidTr="00B113BF">
        <w:trPr>
          <w:cantSplit/>
          <w:trHeight w:val="300"/>
        </w:trPr>
        <w:tc>
          <w:tcPr>
            <w:tcW w:w="840" w:type="pct"/>
          </w:tcPr>
          <w:p w14:paraId="682A6643" w14:textId="09E705D9" w:rsidR="001D36D7" w:rsidRPr="001D36D7" w:rsidRDefault="001D36D7" w:rsidP="00D12599">
            <w:pPr>
              <w:rPr>
                <w:rFonts w:ascii="Calibri" w:hAnsi="Calibri" w:cs="Calibri"/>
              </w:rPr>
            </w:pPr>
            <w:r w:rsidRPr="001D36D7">
              <w:rPr>
                <w:rFonts w:ascii="Calibri" w:hAnsi="Calibri" w:cs="Calibri"/>
              </w:rPr>
              <w:t>Name ID Code</w:t>
            </w:r>
          </w:p>
        </w:tc>
        <w:tc>
          <w:tcPr>
            <w:tcW w:w="1733" w:type="pct"/>
          </w:tcPr>
          <w:p w14:paraId="4D313AC8" w14:textId="13C44709" w:rsidR="001D36D7" w:rsidRPr="001D36D7" w:rsidRDefault="001D36D7" w:rsidP="00D12599">
            <w:pPr>
              <w:rPr>
                <w:rFonts w:ascii="Calibri" w:hAnsi="Calibri" w:cs="Calibri"/>
              </w:rPr>
            </w:pPr>
            <w:r w:rsidRPr="001D36D7">
              <w:rPr>
                <w:rFonts w:ascii="Calibri" w:hAnsi="Calibri" w:cs="Calibri"/>
              </w:rPr>
              <w:t>To improve learner validations</w:t>
            </w:r>
          </w:p>
        </w:tc>
        <w:tc>
          <w:tcPr>
            <w:tcW w:w="1188" w:type="pct"/>
          </w:tcPr>
          <w:p w14:paraId="5C0DC2E2" w14:textId="47CA0A69" w:rsidR="001D36D7" w:rsidRPr="001D36D7" w:rsidRDefault="001D36D7" w:rsidP="00D12599">
            <w:pPr>
              <w:rPr>
                <w:rFonts w:ascii="Calibri" w:hAnsi="Calibri" w:cs="Calibri"/>
              </w:rPr>
            </w:pPr>
            <w:r w:rsidRPr="001D36D7">
              <w:rPr>
                <w:rFonts w:ascii="Calibri" w:hAnsi="Calibri" w:cs="Calibri"/>
              </w:rPr>
              <w:t>No</w:t>
            </w:r>
          </w:p>
        </w:tc>
        <w:tc>
          <w:tcPr>
            <w:tcW w:w="1238" w:type="pct"/>
          </w:tcPr>
          <w:p w14:paraId="5F13B4B0" w14:textId="5B4404A2" w:rsidR="001D36D7" w:rsidRPr="001D36D7" w:rsidRDefault="001D36D7" w:rsidP="00D12599">
            <w:pPr>
              <w:rPr>
                <w:rFonts w:ascii="Calibri" w:hAnsi="Calibri" w:cs="Calibri"/>
              </w:rPr>
            </w:pPr>
            <w:r w:rsidRPr="001D36D7">
              <w:rPr>
                <w:rFonts w:ascii="Calibri" w:hAnsi="Calibri" w:cs="Calibri"/>
              </w:rPr>
              <w:t>Yes</w:t>
            </w:r>
          </w:p>
        </w:tc>
      </w:tr>
      <w:tr w:rsidR="00397FBA" w:rsidRPr="000D0EC5" w14:paraId="06364C2D" w14:textId="77777777" w:rsidTr="00B113BF">
        <w:trPr>
          <w:cantSplit/>
          <w:trHeight w:val="300"/>
        </w:trPr>
        <w:tc>
          <w:tcPr>
            <w:tcW w:w="840" w:type="pct"/>
          </w:tcPr>
          <w:p w14:paraId="01297CB9" w14:textId="0D36C9C3" w:rsidR="001D36D7" w:rsidRPr="001D36D7" w:rsidRDefault="001D36D7" w:rsidP="00D12599">
            <w:pPr>
              <w:rPr>
                <w:rFonts w:ascii="Calibri" w:hAnsi="Calibri" w:cs="Calibri"/>
              </w:rPr>
            </w:pPr>
            <w:r w:rsidRPr="001D36D7">
              <w:rPr>
                <w:rFonts w:ascii="Calibri" w:hAnsi="Calibri" w:cs="Calibri"/>
              </w:rPr>
              <w:lastRenderedPageBreak/>
              <w:t>First year of tertiary education</w:t>
            </w:r>
          </w:p>
        </w:tc>
        <w:tc>
          <w:tcPr>
            <w:tcW w:w="1733" w:type="pct"/>
          </w:tcPr>
          <w:p w14:paraId="111E6D9C" w14:textId="72BC89BA" w:rsidR="001D36D7" w:rsidRPr="001D36D7" w:rsidRDefault="001D36D7" w:rsidP="00D12599">
            <w:pPr>
              <w:rPr>
                <w:rFonts w:ascii="Calibri" w:hAnsi="Calibri" w:cs="Calibri"/>
              </w:rPr>
            </w:pPr>
            <w:r w:rsidRPr="001D36D7">
              <w:rPr>
                <w:rFonts w:ascii="Calibri" w:hAnsi="Calibri" w:cs="Calibri"/>
              </w:rPr>
              <w:t>Standardisation with provider-based data</w:t>
            </w:r>
          </w:p>
        </w:tc>
        <w:tc>
          <w:tcPr>
            <w:tcW w:w="1188" w:type="pct"/>
          </w:tcPr>
          <w:p w14:paraId="1704801B" w14:textId="2CFE3F7A" w:rsidR="001D36D7" w:rsidRPr="001D36D7" w:rsidRDefault="001D36D7" w:rsidP="00D12599">
            <w:pPr>
              <w:rPr>
                <w:rFonts w:ascii="Calibri" w:hAnsi="Calibri" w:cs="Calibri"/>
              </w:rPr>
            </w:pPr>
            <w:r w:rsidRPr="001D36D7">
              <w:rPr>
                <w:rFonts w:ascii="Calibri" w:hAnsi="Calibri" w:cs="Calibri"/>
              </w:rPr>
              <w:t>No</w:t>
            </w:r>
          </w:p>
        </w:tc>
        <w:tc>
          <w:tcPr>
            <w:tcW w:w="1238" w:type="pct"/>
          </w:tcPr>
          <w:p w14:paraId="3AF6E284" w14:textId="4DF72249" w:rsidR="001D36D7" w:rsidRPr="001D36D7" w:rsidRDefault="001D36D7" w:rsidP="00D12599">
            <w:pPr>
              <w:rPr>
                <w:rFonts w:ascii="Calibri" w:hAnsi="Calibri" w:cs="Calibri"/>
              </w:rPr>
            </w:pPr>
            <w:r w:rsidRPr="001D36D7">
              <w:rPr>
                <w:rFonts w:ascii="Calibri" w:hAnsi="Calibri" w:cs="Calibri"/>
              </w:rPr>
              <w:t>Yes - if Country of Citizenship is NZL or AUS</w:t>
            </w:r>
          </w:p>
        </w:tc>
      </w:tr>
      <w:tr w:rsidR="00397FBA" w:rsidRPr="000D0EC5" w14:paraId="1C0CA3C7" w14:textId="77777777" w:rsidTr="00B113BF">
        <w:trPr>
          <w:cantSplit/>
          <w:trHeight w:val="300"/>
        </w:trPr>
        <w:tc>
          <w:tcPr>
            <w:tcW w:w="840" w:type="pct"/>
          </w:tcPr>
          <w:p w14:paraId="6AF524EF" w14:textId="60F3A07F" w:rsidR="001D36D7" w:rsidRPr="001D36D7" w:rsidRDefault="001D36D7" w:rsidP="00D12599">
            <w:pPr>
              <w:rPr>
                <w:rFonts w:ascii="Calibri" w:hAnsi="Calibri" w:cs="Calibri"/>
              </w:rPr>
            </w:pPr>
            <w:r w:rsidRPr="001D36D7">
              <w:rPr>
                <w:rFonts w:ascii="Calibri" w:hAnsi="Calibri" w:cs="Calibri"/>
              </w:rPr>
              <w:t>Country of Citizenship</w:t>
            </w:r>
          </w:p>
        </w:tc>
        <w:tc>
          <w:tcPr>
            <w:tcW w:w="1733" w:type="pct"/>
          </w:tcPr>
          <w:p w14:paraId="619A267C" w14:textId="4E2AB184" w:rsidR="001D36D7" w:rsidRPr="001D36D7" w:rsidRDefault="001D36D7" w:rsidP="00D12599">
            <w:pPr>
              <w:rPr>
                <w:rFonts w:ascii="Calibri" w:hAnsi="Calibri" w:cs="Calibri"/>
              </w:rPr>
            </w:pPr>
            <w:r w:rsidRPr="001D36D7">
              <w:rPr>
                <w:rFonts w:ascii="Calibri" w:hAnsi="Calibri" w:cs="Calibri"/>
              </w:rPr>
              <w:t>To enable validations for Domestic Learner status</w:t>
            </w:r>
          </w:p>
        </w:tc>
        <w:tc>
          <w:tcPr>
            <w:tcW w:w="1188" w:type="pct"/>
          </w:tcPr>
          <w:p w14:paraId="5996D212" w14:textId="1D48EACD" w:rsidR="001D36D7" w:rsidRPr="001D36D7" w:rsidRDefault="001D36D7" w:rsidP="00D12599">
            <w:pPr>
              <w:rPr>
                <w:rFonts w:ascii="Calibri" w:hAnsi="Calibri" w:cs="Calibri"/>
              </w:rPr>
            </w:pPr>
            <w:r w:rsidRPr="001D36D7">
              <w:rPr>
                <w:rFonts w:ascii="Calibri" w:hAnsi="Calibri" w:cs="Calibri"/>
              </w:rPr>
              <w:t>No</w:t>
            </w:r>
          </w:p>
        </w:tc>
        <w:tc>
          <w:tcPr>
            <w:tcW w:w="1238" w:type="pct"/>
          </w:tcPr>
          <w:p w14:paraId="46B4D659" w14:textId="28D34495" w:rsidR="001D36D7" w:rsidRPr="001D36D7" w:rsidRDefault="001D36D7" w:rsidP="00D12599">
            <w:pPr>
              <w:rPr>
                <w:rFonts w:ascii="Calibri" w:hAnsi="Calibri" w:cs="Calibri"/>
              </w:rPr>
            </w:pPr>
            <w:r w:rsidRPr="001D36D7">
              <w:rPr>
                <w:rFonts w:ascii="Calibri" w:hAnsi="Calibri" w:cs="Calibri"/>
              </w:rPr>
              <w:t>Yes</w:t>
            </w:r>
          </w:p>
        </w:tc>
      </w:tr>
      <w:tr w:rsidR="00397FBA" w:rsidRPr="000D0EC5" w14:paraId="15DD2531" w14:textId="77777777" w:rsidTr="00B113BF">
        <w:trPr>
          <w:cantSplit/>
          <w:trHeight w:val="300"/>
        </w:trPr>
        <w:tc>
          <w:tcPr>
            <w:tcW w:w="840" w:type="pct"/>
          </w:tcPr>
          <w:p w14:paraId="49505470" w14:textId="77777777" w:rsidR="001D36D7" w:rsidRPr="001D36D7" w:rsidRDefault="001D36D7" w:rsidP="00D12599">
            <w:pPr>
              <w:rPr>
                <w:rFonts w:ascii="Calibri" w:hAnsi="Calibri" w:cs="Calibri"/>
              </w:rPr>
            </w:pPr>
            <w:r w:rsidRPr="001D36D7">
              <w:rPr>
                <w:rFonts w:ascii="Calibri" w:hAnsi="Calibri" w:cs="Calibri"/>
              </w:rPr>
              <w:t>Disability Support</w:t>
            </w:r>
          </w:p>
          <w:p w14:paraId="668D8BC9" w14:textId="36B15FA4" w:rsidR="001D36D7" w:rsidRPr="001D36D7" w:rsidRDefault="001D36D7" w:rsidP="00D12599">
            <w:pPr>
              <w:rPr>
                <w:rFonts w:ascii="Calibri" w:hAnsi="Calibri" w:cs="Calibri"/>
              </w:rPr>
            </w:pPr>
            <w:r w:rsidRPr="001D36D7">
              <w:rPr>
                <w:rFonts w:ascii="Calibri" w:hAnsi="Calibri" w:cs="Calibri"/>
              </w:rPr>
              <w:t>Needs</w:t>
            </w:r>
          </w:p>
        </w:tc>
        <w:tc>
          <w:tcPr>
            <w:tcW w:w="1733" w:type="pct"/>
          </w:tcPr>
          <w:p w14:paraId="5F389ED2" w14:textId="60954AB1" w:rsidR="001D36D7" w:rsidRPr="001D36D7" w:rsidRDefault="001D36D7" w:rsidP="00D12599">
            <w:pPr>
              <w:rPr>
                <w:rFonts w:ascii="Calibri" w:hAnsi="Calibri" w:cs="Calibri"/>
              </w:rPr>
            </w:pPr>
            <w:r w:rsidRPr="001D36D7">
              <w:rPr>
                <w:rFonts w:ascii="Calibri" w:hAnsi="Calibri" w:cs="Calibri"/>
              </w:rPr>
              <w:t>To support the new disability question on enrolment</w:t>
            </w:r>
          </w:p>
        </w:tc>
        <w:tc>
          <w:tcPr>
            <w:tcW w:w="1188" w:type="pct"/>
          </w:tcPr>
          <w:p w14:paraId="1A31C159" w14:textId="116487CD" w:rsidR="001D36D7" w:rsidRPr="001D36D7" w:rsidRDefault="001D36D7" w:rsidP="00D12599">
            <w:pPr>
              <w:rPr>
                <w:rFonts w:ascii="Calibri" w:hAnsi="Calibri" w:cs="Calibri"/>
              </w:rPr>
            </w:pPr>
            <w:r w:rsidRPr="001D36D7">
              <w:rPr>
                <w:rFonts w:ascii="Calibri" w:hAnsi="Calibri" w:cs="Calibri"/>
              </w:rPr>
              <w:t>No</w:t>
            </w:r>
          </w:p>
        </w:tc>
        <w:tc>
          <w:tcPr>
            <w:tcW w:w="1238" w:type="pct"/>
          </w:tcPr>
          <w:p w14:paraId="55780004" w14:textId="34AE01FC" w:rsidR="001D36D7" w:rsidRPr="001D36D7" w:rsidRDefault="001D36D7" w:rsidP="00D12599">
            <w:pPr>
              <w:rPr>
                <w:rFonts w:ascii="Calibri" w:hAnsi="Calibri" w:cs="Calibri"/>
              </w:rPr>
            </w:pPr>
            <w:r w:rsidRPr="001D36D7">
              <w:rPr>
                <w:rFonts w:ascii="Calibri" w:hAnsi="Calibri" w:cs="Calibri"/>
              </w:rPr>
              <w:t>Yes</w:t>
            </w:r>
          </w:p>
        </w:tc>
      </w:tr>
      <w:tr w:rsidR="00397FBA" w:rsidRPr="000D0EC5" w14:paraId="0320E73D" w14:textId="77777777" w:rsidTr="00B113BF">
        <w:trPr>
          <w:cantSplit/>
          <w:trHeight w:val="300"/>
        </w:trPr>
        <w:tc>
          <w:tcPr>
            <w:tcW w:w="840" w:type="pct"/>
          </w:tcPr>
          <w:p w14:paraId="198458A3" w14:textId="2E3E28C0" w:rsidR="001D36D7" w:rsidRPr="001D36D7" w:rsidRDefault="001D36D7" w:rsidP="00D12599">
            <w:pPr>
              <w:rPr>
                <w:rFonts w:ascii="Calibri" w:hAnsi="Calibri" w:cs="Calibri"/>
              </w:rPr>
            </w:pPr>
            <w:r w:rsidRPr="001D36D7">
              <w:rPr>
                <w:rFonts w:ascii="Calibri" w:hAnsi="Calibri" w:cs="Calibri"/>
              </w:rPr>
              <w:t>Disability services accessed indicator</w:t>
            </w:r>
          </w:p>
        </w:tc>
        <w:tc>
          <w:tcPr>
            <w:tcW w:w="1733" w:type="pct"/>
          </w:tcPr>
          <w:p w14:paraId="0FD59DCF" w14:textId="4B53F665" w:rsidR="001D36D7" w:rsidRPr="001D36D7" w:rsidRDefault="001D36D7" w:rsidP="00D12599">
            <w:pPr>
              <w:rPr>
                <w:rFonts w:ascii="Calibri" w:hAnsi="Calibri" w:cs="Calibri"/>
              </w:rPr>
            </w:pPr>
            <w:r w:rsidRPr="001D36D7">
              <w:rPr>
                <w:rFonts w:ascii="Calibri" w:hAnsi="Calibri" w:cs="Calibri"/>
              </w:rPr>
              <w:t>To indicate whether a student has accessed disability services</w:t>
            </w:r>
          </w:p>
        </w:tc>
        <w:tc>
          <w:tcPr>
            <w:tcW w:w="1188" w:type="pct"/>
          </w:tcPr>
          <w:p w14:paraId="05493278" w14:textId="58BA8855" w:rsidR="001D36D7" w:rsidRPr="001D36D7" w:rsidRDefault="001D36D7" w:rsidP="00D12599">
            <w:pPr>
              <w:rPr>
                <w:rFonts w:ascii="Calibri" w:hAnsi="Calibri" w:cs="Calibri"/>
              </w:rPr>
            </w:pPr>
            <w:r w:rsidRPr="001D36D7">
              <w:rPr>
                <w:rFonts w:ascii="Calibri" w:hAnsi="Calibri" w:cs="Calibri"/>
              </w:rPr>
              <w:t>No</w:t>
            </w:r>
          </w:p>
        </w:tc>
        <w:tc>
          <w:tcPr>
            <w:tcW w:w="1238" w:type="pct"/>
          </w:tcPr>
          <w:p w14:paraId="256F7664" w14:textId="0A506E74" w:rsidR="001D36D7" w:rsidRPr="001D36D7" w:rsidRDefault="001D36D7" w:rsidP="00D12599">
            <w:pPr>
              <w:rPr>
                <w:rFonts w:ascii="Calibri" w:hAnsi="Calibri" w:cs="Calibri"/>
              </w:rPr>
            </w:pPr>
            <w:r w:rsidRPr="001D36D7">
              <w:rPr>
                <w:rFonts w:ascii="Calibri" w:hAnsi="Calibri" w:cs="Calibri"/>
              </w:rPr>
              <w:t>Yes</w:t>
            </w:r>
          </w:p>
        </w:tc>
      </w:tr>
    </w:tbl>
    <w:p w14:paraId="17023B57" w14:textId="77777777" w:rsidR="00C23B14" w:rsidRDefault="00C23B14" w:rsidP="00B113BF">
      <w:pPr>
        <w:spacing w:after="0" w:line="240" w:lineRule="auto"/>
        <w:rPr>
          <w:rFonts w:ascii="Calibri" w:hAnsi="Calibri" w:cs="Calibri"/>
        </w:rPr>
      </w:pPr>
    </w:p>
    <w:p w14:paraId="4D963D96" w14:textId="6CD9C9F9" w:rsidR="00913436" w:rsidRPr="00B113BF" w:rsidRDefault="0F303481" w:rsidP="00786FDA">
      <w:pPr>
        <w:rPr>
          <w:rFonts w:cs="Calibri"/>
        </w:rPr>
      </w:pPr>
      <w:r w:rsidRPr="00B113BF">
        <w:rPr>
          <w:rFonts w:cs="Calibri"/>
        </w:rPr>
        <w:t>Note:</w:t>
      </w:r>
    </w:p>
    <w:p w14:paraId="5B898909" w14:textId="0AAE64DC" w:rsidR="00913436" w:rsidRPr="00B113BF" w:rsidRDefault="009F05E7" w:rsidP="00ED5719">
      <w:pPr>
        <w:pStyle w:val="ListParagraph"/>
        <w:numPr>
          <w:ilvl w:val="1"/>
          <w:numId w:val="30"/>
        </w:numPr>
        <w:rPr>
          <w:rFonts w:cs="Calibri"/>
        </w:rPr>
      </w:pPr>
      <w:r w:rsidRPr="00B113BF">
        <w:rPr>
          <w:rFonts w:cs="Calibri"/>
        </w:rPr>
        <w:t xml:space="preserve">The </w:t>
      </w:r>
      <w:r w:rsidR="00E857A0" w:rsidRPr="00B113BF">
        <w:rPr>
          <w:rFonts w:cs="Calibri"/>
        </w:rPr>
        <w:t xml:space="preserve">Ethnicity and Iwi data </w:t>
      </w:r>
      <w:r w:rsidR="00E754BA" w:rsidRPr="00B113BF">
        <w:rPr>
          <w:rFonts w:cs="Calibri"/>
        </w:rPr>
        <w:t xml:space="preserve">fields now allow up to six </w:t>
      </w:r>
      <w:r w:rsidR="00C45600" w:rsidRPr="00B113BF">
        <w:rPr>
          <w:rFonts w:cs="Calibri"/>
        </w:rPr>
        <w:t>values.</w:t>
      </w:r>
    </w:p>
    <w:p w14:paraId="34317348" w14:textId="77412FE1" w:rsidR="00786FDA" w:rsidRPr="00B113BF" w:rsidRDefault="00786FDA" w:rsidP="00ED5719">
      <w:pPr>
        <w:pStyle w:val="ListParagraph"/>
        <w:numPr>
          <w:ilvl w:val="1"/>
          <w:numId w:val="30"/>
        </w:numPr>
        <w:rPr>
          <w:rFonts w:cs="Calibri"/>
        </w:rPr>
      </w:pPr>
      <w:r w:rsidRPr="00B113BF">
        <w:rPr>
          <w:rFonts w:cs="Calibri"/>
        </w:rPr>
        <w:t>Standardised learner data and consistent learner validation rules are now applied across all funds associated with a learner.</w:t>
      </w:r>
    </w:p>
    <w:p w14:paraId="66431E85" w14:textId="77777777" w:rsidR="00B113BF" w:rsidRDefault="00B113BF" w:rsidP="00B113BF">
      <w:pPr>
        <w:pStyle w:val="ListParagraph"/>
        <w:ind w:left="-360"/>
        <w:rPr>
          <w:rFonts w:cs="Calibri"/>
        </w:rPr>
      </w:pPr>
    </w:p>
    <w:p w14:paraId="2BAF22DE" w14:textId="7B1BFF52" w:rsidR="00B113BF" w:rsidRPr="00B113BF" w:rsidRDefault="00B113BF" w:rsidP="00B113BF">
      <w:pPr>
        <w:pStyle w:val="ListParagraph"/>
        <w:ind w:left="0"/>
        <w:rPr>
          <w:rFonts w:cs="Calibri"/>
          <w:b/>
          <w:bCs/>
        </w:rPr>
      </w:pPr>
      <w:r w:rsidRPr="00B113BF">
        <w:rPr>
          <w:rFonts w:cs="Calibri"/>
          <w:b/>
          <w:bCs/>
        </w:rPr>
        <w:t>Overseas Country Code / Last Secondary School</w:t>
      </w:r>
    </w:p>
    <w:p w14:paraId="30502AC1" w14:textId="5B440370" w:rsidR="00B113BF" w:rsidRPr="00B113BF" w:rsidRDefault="00B113BF" w:rsidP="00B113BF">
      <w:pPr>
        <w:pStyle w:val="ListParagraph"/>
        <w:ind w:left="0"/>
        <w:rPr>
          <w:rFonts w:cs="Calibri"/>
        </w:rPr>
      </w:pPr>
      <w:r>
        <w:rPr>
          <w:rFonts w:cs="Calibri"/>
        </w:rPr>
        <w:t xml:space="preserve">Our work on existing data for migration has highlighted that the stated ITR validations for these fields were not working correctly.  This led to a number of records having invalid combinations of Overseas Country and Last Secondary School. </w:t>
      </w:r>
    </w:p>
    <w:p w14:paraId="38589C79" w14:textId="607526F9" w:rsidR="00D52037" w:rsidRPr="00266BD6" w:rsidRDefault="00D52037" w:rsidP="00D52037">
      <w:pPr>
        <w:numPr>
          <w:ilvl w:val="0"/>
          <w:numId w:val="34"/>
        </w:numPr>
        <w:rPr>
          <w:rFonts w:cs="Calibri"/>
        </w:rPr>
      </w:pPr>
      <w:r w:rsidRPr="00266BD6">
        <w:rPr>
          <w:rFonts w:cs="Calibri"/>
        </w:rPr>
        <w:t>When OverseasCountryCode is not null ---&gt; update LastSecondarySchoolAttended to 999(Overseas Secondary School)</w:t>
      </w:r>
    </w:p>
    <w:p w14:paraId="3A77A2B4" w14:textId="09650A35" w:rsidR="00D52037" w:rsidRPr="00266BD6" w:rsidRDefault="00D52037" w:rsidP="00D52037">
      <w:pPr>
        <w:numPr>
          <w:ilvl w:val="0"/>
          <w:numId w:val="34"/>
        </w:numPr>
        <w:rPr>
          <w:rFonts w:cs="Calibri"/>
        </w:rPr>
      </w:pPr>
      <w:r w:rsidRPr="00266BD6">
        <w:rPr>
          <w:rFonts w:cs="Calibri"/>
        </w:rPr>
        <w:t>When OverseasCountryCode is null ---&gt; update LastSecondarySchoolAttended to 1040 (Secondary School Not Known)</w:t>
      </w:r>
    </w:p>
    <w:p w14:paraId="2327E5E2" w14:textId="71DC7869" w:rsidR="0036544F" w:rsidRPr="00266BD6" w:rsidRDefault="00D52037" w:rsidP="00266BD6">
      <w:pPr>
        <w:numPr>
          <w:ilvl w:val="0"/>
          <w:numId w:val="34"/>
        </w:numPr>
        <w:rPr>
          <w:rFonts w:cs="Calibri"/>
        </w:rPr>
      </w:pPr>
      <w:r w:rsidRPr="00266BD6">
        <w:rPr>
          <w:rFonts w:cs="Calibri"/>
        </w:rPr>
        <w:t>When OverseasCountryCode is 9999 (Not Stated) ---&gt; Update</w:t>
      </w:r>
      <w:r w:rsidR="00266BD6">
        <w:rPr>
          <w:rFonts w:cs="Calibri"/>
        </w:rPr>
        <w:t xml:space="preserve"> </w:t>
      </w:r>
      <w:r w:rsidRPr="00266BD6">
        <w:rPr>
          <w:rFonts w:cs="Calibri"/>
        </w:rPr>
        <w:t>LastSecondarySchoolAttended to 999(Overseas Secondary School)</w:t>
      </w:r>
    </w:p>
    <w:p w14:paraId="65B52E20" w14:textId="06FFB29F" w:rsidR="00874F68" w:rsidRDefault="00A83158" w:rsidP="00874F68">
      <w:pPr>
        <w:rPr>
          <w:b/>
          <w:color w:val="215E99" w:themeColor="text2" w:themeTint="BF"/>
          <w:sz w:val="24"/>
          <w:szCs w:val="24"/>
        </w:rPr>
      </w:pPr>
      <w:r>
        <w:rPr>
          <w:b/>
          <w:color w:val="215E99" w:themeColor="text2" w:themeTint="BF"/>
          <w:sz w:val="24"/>
          <w:szCs w:val="24"/>
        </w:rPr>
        <w:t xml:space="preserve">New </w:t>
      </w:r>
      <w:r w:rsidR="00874F68" w:rsidRPr="00590E2E">
        <w:rPr>
          <w:b/>
          <w:color w:val="215E99" w:themeColor="text2" w:themeTint="BF"/>
          <w:sz w:val="24"/>
          <w:szCs w:val="24"/>
        </w:rPr>
        <w:t>Programme</w:t>
      </w:r>
      <w:r w:rsidR="00872434">
        <w:rPr>
          <w:b/>
          <w:color w:val="215E99" w:themeColor="text2" w:themeTint="BF"/>
          <w:sz w:val="24"/>
          <w:szCs w:val="24"/>
        </w:rPr>
        <w:t xml:space="preserve"> fields</w:t>
      </w:r>
    </w:p>
    <w:p w14:paraId="646C6E50" w14:textId="5C4C1F64" w:rsidR="001E2FEF" w:rsidRPr="00D52037" w:rsidRDefault="009B6832" w:rsidP="00ED5719">
      <w:pPr>
        <w:pStyle w:val="ListParagraph"/>
        <w:numPr>
          <w:ilvl w:val="1"/>
          <w:numId w:val="30"/>
        </w:numPr>
        <w:rPr>
          <w:rFonts w:ascii="Aptos" w:hAnsi="Aptos" w:cs="Calibri"/>
        </w:rPr>
      </w:pPr>
      <w:r w:rsidRPr="00D52037">
        <w:rPr>
          <w:rFonts w:ascii="Aptos" w:hAnsi="Aptos" w:cs="Calibri"/>
        </w:rPr>
        <w:t xml:space="preserve">From </w:t>
      </w:r>
      <w:r w:rsidR="00F2672F" w:rsidRPr="00D52037">
        <w:rPr>
          <w:rFonts w:ascii="Aptos" w:hAnsi="Aptos" w:cs="Calibri"/>
        </w:rPr>
        <w:t>4 August</w:t>
      </w:r>
      <w:r w:rsidRPr="00D52037">
        <w:rPr>
          <w:rFonts w:ascii="Aptos" w:hAnsi="Aptos" w:cs="Calibri"/>
        </w:rPr>
        <w:t xml:space="preserve"> 2025 </w:t>
      </w:r>
      <w:r w:rsidR="00EC7716" w:rsidRPr="00D52037">
        <w:rPr>
          <w:rFonts w:ascii="Aptos" w:hAnsi="Aptos" w:cs="Calibri"/>
        </w:rPr>
        <w:t>a</w:t>
      </w:r>
      <w:r w:rsidR="001E2FEF" w:rsidRPr="00D52037">
        <w:rPr>
          <w:rFonts w:ascii="Aptos" w:hAnsi="Aptos" w:cs="Calibri"/>
        </w:rPr>
        <w:t xml:space="preserve">ll new fields are mandatory for new programmes. </w:t>
      </w:r>
    </w:p>
    <w:p w14:paraId="0728B259" w14:textId="2DFA9FCF" w:rsidR="00EB6E47" w:rsidRPr="00D52037" w:rsidRDefault="001A76EC" w:rsidP="00ED5719">
      <w:pPr>
        <w:pStyle w:val="ListParagraph"/>
        <w:numPr>
          <w:ilvl w:val="1"/>
          <w:numId w:val="30"/>
        </w:numPr>
        <w:rPr>
          <w:rFonts w:ascii="Aptos" w:hAnsi="Aptos" w:cs="Calibri"/>
        </w:rPr>
      </w:pPr>
      <w:r w:rsidRPr="00D52037">
        <w:rPr>
          <w:rFonts w:ascii="Aptos" w:hAnsi="Aptos" w:cs="Calibri"/>
        </w:rPr>
        <w:t xml:space="preserve">TEC will populate data into </w:t>
      </w:r>
      <w:r w:rsidR="00B31D1C" w:rsidRPr="00D52037">
        <w:rPr>
          <w:rFonts w:ascii="Aptos" w:hAnsi="Aptos" w:cs="Calibri"/>
        </w:rPr>
        <w:t xml:space="preserve">all </w:t>
      </w:r>
      <w:r w:rsidRPr="00D52037">
        <w:rPr>
          <w:rFonts w:ascii="Aptos" w:hAnsi="Aptos" w:cs="Calibri"/>
        </w:rPr>
        <w:t>new programme fields</w:t>
      </w:r>
      <w:r w:rsidR="00106148" w:rsidRPr="00D52037">
        <w:rPr>
          <w:rFonts w:ascii="Aptos" w:hAnsi="Aptos" w:cs="Calibri"/>
        </w:rPr>
        <w:t xml:space="preserve"> as part of </w:t>
      </w:r>
      <w:r w:rsidR="00F04CC8" w:rsidRPr="00D52037">
        <w:rPr>
          <w:rFonts w:ascii="Aptos" w:hAnsi="Aptos" w:cs="Calibri"/>
        </w:rPr>
        <w:t>data mig</w:t>
      </w:r>
      <w:r w:rsidR="00EB6E47" w:rsidRPr="00D52037">
        <w:rPr>
          <w:rFonts w:ascii="Aptos" w:hAnsi="Aptos" w:cs="Calibri"/>
        </w:rPr>
        <w:t>r</w:t>
      </w:r>
      <w:r w:rsidR="00F04CC8" w:rsidRPr="00D52037">
        <w:rPr>
          <w:rFonts w:ascii="Aptos" w:hAnsi="Aptos" w:cs="Calibri"/>
        </w:rPr>
        <w:t>ation</w:t>
      </w:r>
      <w:r w:rsidR="0070656B" w:rsidRPr="00D52037">
        <w:rPr>
          <w:rFonts w:ascii="Aptos" w:hAnsi="Aptos" w:cs="Calibri"/>
        </w:rPr>
        <w:t xml:space="preserve"> - </w:t>
      </w:r>
      <w:r w:rsidR="00AB4613" w:rsidRPr="00D52037">
        <w:rPr>
          <w:rFonts w:ascii="Aptos" w:hAnsi="Aptos" w:cs="Calibri"/>
        </w:rPr>
        <w:t>s</w:t>
      </w:r>
      <w:r w:rsidR="0070656B" w:rsidRPr="00D52037">
        <w:rPr>
          <w:rFonts w:ascii="Aptos" w:hAnsi="Aptos" w:cs="Calibri"/>
        </w:rPr>
        <w:t>ee below</w:t>
      </w:r>
      <w:r w:rsidR="006F57E2" w:rsidRPr="00D52037">
        <w:rPr>
          <w:rFonts w:ascii="Aptos" w:hAnsi="Aptos" w:cs="Calibri"/>
        </w:rPr>
        <w:t xml:space="preserve">. </w:t>
      </w:r>
    </w:p>
    <w:p w14:paraId="12B12085" w14:textId="5E6EEC87" w:rsidR="00A50193" w:rsidRPr="00D52037" w:rsidRDefault="00255877" w:rsidP="00E04A20">
      <w:pPr>
        <w:pStyle w:val="ListParagraph"/>
        <w:numPr>
          <w:ilvl w:val="2"/>
          <w:numId w:val="31"/>
        </w:numPr>
        <w:rPr>
          <w:rFonts w:ascii="Aptos" w:hAnsi="Aptos" w:cs="Calibri"/>
        </w:rPr>
      </w:pPr>
      <w:r w:rsidRPr="00D52037">
        <w:rPr>
          <w:rFonts w:ascii="Aptos" w:hAnsi="Aptos" w:cs="Calibri"/>
        </w:rPr>
        <w:t xml:space="preserve">TEOs </w:t>
      </w:r>
      <w:r w:rsidR="00167216" w:rsidRPr="00D52037">
        <w:rPr>
          <w:rFonts w:ascii="Aptos" w:hAnsi="Aptos" w:cs="Calibri"/>
        </w:rPr>
        <w:t xml:space="preserve">can update </w:t>
      </w:r>
      <w:r w:rsidR="00FB08F4" w:rsidRPr="00D52037">
        <w:rPr>
          <w:rFonts w:ascii="Aptos" w:hAnsi="Aptos" w:cs="Calibri"/>
        </w:rPr>
        <w:t xml:space="preserve">the </w:t>
      </w:r>
      <w:r w:rsidR="007B6006" w:rsidRPr="00D52037">
        <w:rPr>
          <w:rFonts w:ascii="Aptos" w:hAnsi="Aptos" w:cs="Calibri"/>
        </w:rPr>
        <w:t xml:space="preserve">Maximum </w:t>
      </w:r>
      <w:r w:rsidR="00FB08F4" w:rsidRPr="00D52037">
        <w:rPr>
          <w:rFonts w:ascii="Aptos" w:hAnsi="Aptos" w:cs="Calibri"/>
        </w:rPr>
        <w:t xml:space="preserve">Programme Fee </w:t>
      </w:r>
      <w:r w:rsidR="00EB6E47" w:rsidRPr="00D52037">
        <w:rPr>
          <w:rFonts w:ascii="Aptos" w:hAnsi="Aptos" w:cs="Calibri"/>
        </w:rPr>
        <w:t>if</w:t>
      </w:r>
      <w:r w:rsidRPr="00D52037">
        <w:rPr>
          <w:rFonts w:ascii="Aptos" w:hAnsi="Aptos" w:cs="Calibri"/>
        </w:rPr>
        <w:t xml:space="preserve"> needed </w:t>
      </w:r>
      <w:r w:rsidR="00C7120B" w:rsidRPr="00D52037">
        <w:rPr>
          <w:rFonts w:ascii="Aptos" w:hAnsi="Aptos" w:cs="Calibri"/>
        </w:rPr>
        <w:t>(</w:t>
      </w:r>
      <w:r w:rsidR="00FB08F4" w:rsidRPr="00D52037">
        <w:rPr>
          <w:rFonts w:ascii="Aptos" w:hAnsi="Aptos" w:cs="Calibri"/>
        </w:rPr>
        <w:t>and</w:t>
      </w:r>
      <w:r w:rsidR="00177E4D" w:rsidRPr="00D52037">
        <w:rPr>
          <w:rFonts w:ascii="Aptos" w:hAnsi="Aptos" w:cs="Calibri"/>
        </w:rPr>
        <w:t xml:space="preserve"> can continue</w:t>
      </w:r>
      <w:r w:rsidR="007D6626" w:rsidRPr="00D52037">
        <w:rPr>
          <w:rFonts w:ascii="Aptos" w:hAnsi="Aptos" w:cs="Calibri"/>
        </w:rPr>
        <w:t xml:space="preserve"> to update</w:t>
      </w:r>
      <w:r w:rsidR="00FB08F4" w:rsidRPr="00D52037">
        <w:rPr>
          <w:rFonts w:ascii="Aptos" w:hAnsi="Aptos" w:cs="Calibri"/>
        </w:rPr>
        <w:t xml:space="preserve"> </w:t>
      </w:r>
      <w:r w:rsidR="007D6626" w:rsidRPr="00D52037">
        <w:rPr>
          <w:rFonts w:ascii="Aptos" w:hAnsi="Aptos" w:cs="Calibri"/>
        </w:rPr>
        <w:t xml:space="preserve">the </w:t>
      </w:r>
      <w:r w:rsidR="009008FC" w:rsidRPr="00D52037">
        <w:rPr>
          <w:rFonts w:ascii="Aptos" w:hAnsi="Aptos" w:cs="Calibri"/>
        </w:rPr>
        <w:t>E</w:t>
      </w:r>
      <w:r w:rsidR="00FB08F4" w:rsidRPr="00D52037">
        <w:rPr>
          <w:rFonts w:ascii="Aptos" w:hAnsi="Aptos" w:cs="Calibri"/>
        </w:rPr>
        <w:t xml:space="preserve">xpiry </w:t>
      </w:r>
      <w:r w:rsidR="009008FC" w:rsidRPr="00D52037">
        <w:rPr>
          <w:rFonts w:ascii="Aptos" w:hAnsi="Aptos" w:cs="Calibri"/>
        </w:rPr>
        <w:t>D</w:t>
      </w:r>
      <w:r w:rsidR="00FB08F4" w:rsidRPr="00D52037">
        <w:rPr>
          <w:rFonts w:ascii="Aptos" w:hAnsi="Aptos" w:cs="Calibri"/>
        </w:rPr>
        <w:t>ate</w:t>
      </w:r>
      <w:r w:rsidR="007D6626" w:rsidRPr="00D52037">
        <w:rPr>
          <w:rFonts w:ascii="Aptos" w:hAnsi="Aptos" w:cs="Calibri"/>
        </w:rPr>
        <w:t xml:space="preserve"> field</w:t>
      </w:r>
      <w:r w:rsidR="00EB6E47" w:rsidRPr="00D52037">
        <w:rPr>
          <w:rFonts w:ascii="Aptos" w:hAnsi="Aptos" w:cs="Calibri"/>
        </w:rPr>
        <w:t xml:space="preserve"> </w:t>
      </w:r>
      <w:r w:rsidR="00D61816" w:rsidRPr="00D52037">
        <w:rPr>
          <w:rFonts w:ascii="Aptos" w:hAnsi="Aptos" w:cs="Calibri"/>
        </w:rPr>
        <w:t>as in ITR</w:t>
      </w:r>
      <w:r w:rsidR="007D6626" w:rsidRPr="00D52037">
        <w:rPr>
          <w:rFonts w:ascii="Aptos" w:hAnsi="Aptos" w:cs="Calibri"/>
        </w:rPr>
        <w:t>)</w:t>
      </w:r>
    </w:p>
    <w:p w14:paraId="0C66A1AB" w14:textId="76DEB415" w:rsidR="008B69FD" w:rsidRPr="00D52037" w:rsidRDefault="00F05D20" w:rsidP="00E04A20">
      <w:pPr>
        <w:pStyle w:val="ListParagraph"/>
        <w:numPr>
          <w:ilvl w:val="2"/>
          <w:numId w:val="31"/>
        </w:numPr>
        <w:rPr>
          <w:rFonts w:ascii="Aptos" w:hAnsi="Aptos" w:cs="Calibri"/>
        </w:rPr>
      </w:pPr>
      <w:r w:rsidRPr="00D52037">
        <w:rPr>
          <w:rFonts w:ascii="Aptos" w:hAnsi="Aptos" w:cs="Calibri"/>
        </w:rPr>
        <w:t>TEOs cannot update other new fields</w:t>
      </w:r>
      <w:r w:rsidR="621AB0AC" w:rsidRPr="00D52037">
        <w:rPr>
          <w:rFonts w:ascii="Aptos" w:hAnsi="Aptos" w:cs="Calibri"/>
        </w:rPr>
        <w:t>.</w:t>
      </w:r>
      <w:r w:rsidR="00281BED" w:rsidRPr="00D52037">
        <w:rPr>
          <w:rFonts w:ascii="Aptos" w:hAnsi="Aptos" w:cs="Calibri"/>
        </w:rPr>
        <w:t xml:space="preserve"> </w:t>
      </w:r>
      <w:r w:rsidR="621AB0AC" w:rsidRPr="009D26EC">
        <w:rPr>
          <w:rFonts w:ascii="Calibri" w:hAnsi="Calibri" w:cs="Calibri"/>
        </w:rPr>
        <w:t>I</w:t>
      </w:r>
      <w:r w:rsidRPr="009D26EC">
        <w:rPr>
          <w:rFonts w:ascii="Calibri" w:hAnsi="Calibri" w:cs="Calibri"/>
        </w:rPr>
        <w:t>f</w:t>
      </w:r>
      <w:r w:rsidRPr="00D52037">
        <w:rPr>
          <w:rFonts w:ascii="Aptos" w:hAnsi="Aptos" w:cs="Calibri"/>
        </w:rPr>
        <w:t xml:space="preserve"> </w:t>
      </w:r>
      <w:r w:rsidR="00912048" w:rsidRPr="00D52037">
        <w:rPr>
          <w:rFonts w:ascii="Aptos" w:hAnsi="Aptos" w:cs="Calibri"/>
        </w:rPr>
        <w:t xml:space="preserve">a </w:t>
      </w:r>
      <w:r w:rsidR="00B12BA8" w:rsidRPr="00D52037">
        <w:rPr>
          <w:rFonts w:ascii="Aptos" w:hAnsi="Aptos" w:cs="Calibri"/>
        </w:rPr>
        <w:t>change</w:t>
      </w:r>
      <w:r w:rsidR="00912048" w:rsidRPr="00D52037">
        <w:rPr>
          <w:rFonts w:ascii="Aptos" w:hAnsi="Aptos" w:cs="Calibri"/>
        </w:rPr>
        <w:t xml:space="preserve"> is required</w:t>
      </w:r>
      <w:r w:rsidR="6B9E0237" w:rsidRPr="00D52037">
        <w:rPr>
          <w:rFonts w:ascii="Aptos" w:hAnsi="Aptos" w:cs="Calibri"/>
        </w:rPr>
        <w:t>,</w:t>
      </w:r>
      <w:r w:rsidR="00912048" w:rsidRPr="00D52037">
        <w:rPr>
          <w:rFonts w:ascii="Aptos" w:hAnsi="Aptos" w:cs="Calibri"/>
        </w:rPr>
        <w:t xml:space="preserve"> please </w:t>
      </w:r>
      <w:r w:rsidR="005007EA" w:rsidRPr="00D52037">
        <w:rPr>
          <w:rFonts w:ascii="Aptos" w:hAnsi="Aptos" w:cs="Calibri"/>
        </w:rPr>
        <w:t xml:space="preserve">contact </w:t>
      </w:r>
      <w:r w:rsidR="0074620E" w:rsidRPr="00D52037">
        <w:rPr>
          <w:rFonts w:ascii="Aptos" w:hAnsi="Aptos" w:cs="Calibri"/>
        </w:rPr>
        <w:t xml:space="preserve">TEC </w:t>
      </w:r>
      <w:r w:rsidR="005007EA" w:rsidRPr="00D52037">
        <w:rPr>
          <w:rFonts w:ascii="Aptos" w:hAnsi="Aptos" w:cs="Calibri"/>
        </w:rPr>
        <w:t xml:space="preserve">to </w:t>
      </w:r>
      <w:r w:rsidR="00912048" w:rsidRPr="00D52037">
        <w:rPr>
          <w:rFonts w:ascii="Aptos" w:hAnsi="Aptos" w:cs="Calibri"/>
        </w:rPr>
        <w:t xml:space="preserve">request a </w:t>
      </w:r>
      <w:r w:rsidR="00AD30D0" w:rsidRPr="00D52037">
        <w:rPr>
          <w:rFonts w:ascii="Aptos" w:hAnsi="Aptos" w:cs="Calibri"/>
        </w:rPr>
        <w:t>data fix</w:t>
      </w:r>
      <w:r w:rsidR="00E502BE" w:rsidRPr="00D52037">
        <w:rPr>
          <w:rFonts w:ascii="Aptos" w:hAnsi="Aptos" w:cs="Calibri"/>
        </w:rPr>
        <w:t xml:space="preserve"> (existing process)</w:t>
      </w:r>
    </w:p>
    <w:p w14:paraId="77FC0487" w14:textId="7676CB32" w:rsidR="00F2672F" w:rsidRPr="00D52037" w:rsidRDefault="00E502BE" w:rsidP="00ED5719">
      <w:pPr>
        <w:pStyle w:val="ListParagraph"/>
        <w:numPr>
          <w:ilvl w:val="1"/>
          <w:numId w:val="30"/>
        </w:numPr>
        <w:rPr>
          <w:rFonts w:ascii="Aptos" w:hAnsi="Aptos" w:cs="Calibri"/>
        </w:rPr>
      </w:pPr>
      <w:r w:rsidRPr="00D52037">
        <w:rPr>
          <w:rFonts w:ascii="Aptos" w:hAnsi="Aptos" w:cs="Calibri"/>
        </w:rPr>
        <w:t xml:space="preserve">For fields that the TEC has </w:t>
      </w:r>
      <w:r w:rsidR="007D626C" w:rsidRPr="00D52037">
        <w:rPr>
          <w:rFonts w:ascii="Aptos" w:hAnsi="Aptos" w:cs="Calibri"/>
        </w:rPr>
        <w:t>populated</w:t>
      </w:r>
      <w:r w:rsidRPr="00D52037">
        <w:rPr>
          <w:rFonts w:ascii="Aptos" w:hAnsi="Aptos" w:cs="Calibri"/>
        </w:rPr>
        <w:t xml:space="preserve"> as part of the migration process</w:t>
      </w:r>
      <w:r w:rsidR="007D626C" w:rsidRPr="00D52037">
        <w:rPr>
          <w:rFonts w:ascii="Aptos" w:hAnsi="Aptos" w:cs="Calibri"/>
        </w:rPr>
        <w:t>, please be aware of the following:</w:t>
      </w:r>
    </w:p>
    <w:p w14:paraId="78E77D42" w14:textId="60BAA889" w:rsidR="00F2672F" w:rsidRPr="00D52037" w:rsidRDefault="00F2672F" w:rsidP="00F2672F">
      <w:pPr>
        <w:pStyle w:val="ListParagraph"/>
        <w:numPr>
          <w:ilvl w:val="2"/>
          <w:numId w:val="30"/>
        </w:numPr>
        <w:rPr>
          <w:rFonts w:ascii="Aptos" w:hAnsi="Aptos" w:cs="Calibri"/>
        </w:rPr>
      </w:pPr>
      <w:r w:rsidRPr="00D52037">
        <w:rPr>
          <w:rFonts w:ascii="Aptos" w:hAnsi="Aptos" w:cs="Calibri"/>
        </w:rPr>
        <w:t xml:space="preserve">If your </w:t>
      </w:r>
      <w:r w:rsidR="0059455C" w:rsidRPr="00D52037">
        <w:rPr>
          <w:rFonts w:ascii="Aptos" w:hAnsi="Aptos" w:cs="Calibri"/>
        </w:rPr>
        <w:t xml:space="preserve">TMS </w:t>
      </w:r>
      <w:r w:rsidRPr="00D52037">
        <w:rPr>
          <w:rFonts w:ascii="Aptos" w:hAnsi="Aptos" w:cs="Calibri"/>
        </w:rPr>
        <w:t xml:space="preserve">has </w:t>
      </w:r>
      <w:r w:rsidRPr="00D52037">
        <w:rPr>
          <w:rFonts w:ascii="Aptos" w:hAnsi="Aptos" w:cs="Calibri"/>
          <w:b/>
        </w:rPr>
        <w:t>no</w:t>
      </w:r>
      <w:r w:rsidRPr="00D52037">
        <w:rPr>
          <w:rFonts w:ascii="Aptos" w:hAnsi="Aptos" w:cs="Calibri"/>
        </w:rPr>
        <w:t xml:space="preserve"> data in a </w:t>
      </w:r>
      <w:r w:rsidR="007D626C" w:rsidRPr="00D52037">
        <w:rPr>
          <w:rFonts w:ascii="Aptos" w:hAnsi="Aptos" w:cs="Calibri"/>
        </w:rPr>
        <w:t>field that TEC has populated</w:t>
      </w:r>
      <w:r w:rsidR="003C14F5" w:rsidRPr="00D52037">
        <w:rPr>
          <w:rFonts w:ascii="Aptos" w:hAnsi="Aptos" w:cs="Calibri"/>
        </w:rPr>
        <w:t>,</w:t>
      </w:r>
      <w:r w:rsidR="007D626C" w:rsidRPr="00D52037">
        <w:rPr>
          <w:rFonts w:ascii="Aptos" w:hAnsi="Aptos" w:cs="Calibri"/>
        </w:rPr>
        <w:t xml:space="preserve"> and you transmit this field as part of an update, then</w:t>
      </w:r>
      <w:r w:rsidR="00010F7C">
        <w:rPr>
          <w:rFonts w:ascii="Calibri" w:hAnsi="Calibri" w:cs="Calibri"/>
        </w:rPr>
        <w:t>:</w:t>
      </w:r>
    </w:p>
    <w:p w14:paraId="39669B39" w14:textId="6ED4EE28" w:rsidR="00990412" w:rsidRPr="00D52037" w:rsidRDefault="00F2672F" w:rsidP="00990412">
      <w:pPr>
        <w:pStyle w:val="ListParagraph"/>
        <w:numPr>
          <w:ilvl w:val="3"/>
          <w:numId w:val="30"/>
        </w:numPr>
        <w:rPr>
          <w:rFonts w:ascii="Aptos" w:hAnsi="Aptos" w:cs="Calibri"/>
        </w:rPr>
      </w:pPr>
      <w:r w:rsidRPr="00D52037">
        <w:rPr>
          <w:rFonts w:ascii="Aptos" w:hAnsi="Aptos" w:cs="Calibri"/>
        </w:rPr>
        <w:t>your update will remove the data populated by TEC</w:t>
      </w:r>
      <w:r w:rsidR="00093CD3" w:rsidRPr="00D52037">
        <w:rPr>
          <w:rFonts w:ascii="Aptos" w:hAnsi="Aptos" w:cs="Calibri"/>
        </w:rPr>
        <w:t xml:space="preserve"> and </w:t>
      </w:r>
      <w:r w:rsidR="00990412" w:rsidRPr="00D52037">
        <w:rPr>
          <w:rFonts w:ascii="Aptos" w:hAnsi="Aptos" w:cs="Calibri"/>
        </w:rPr>
        <w:t xml:space="preserve">your will receive a </w:t>
      </w:r>
      <w:r w:rsidR="00060AC1" w:rsidRPr="00D52037">
        <w:rPr>
          <w:rFonts w:ascii="Aptos" w:hAnsi="Aptos" w:cs="Calibri"/>
        </w:rPr>
        <w:t>validation error</w:t>
      </w:r>
    </w:p>
    <w:p w14:paraId="69A8EBD7" w14:textId="0AA004F7" w:rsidR="00F2672F" w:rsidRPr="00D52037" w:rsidRDefault="00990412" w:rsidP="00990412">
      <w:pPr>
        <w:pStyle w:val="ListParagraph"/>
        <w:numPr>
          <w:ilvl w:val="3"/>
          <w:numId w:val="30"/>
        </w:numPr>
        <w:rPr>
          <w:rFonts w:ascii="Aptos" w:hAnsi="Aptos" w:cs="Calibri"/>
        </w:rPr>
      </w:pPr>
      <w:r>
        <w:rPr>
          <w:rFonts w:ascii="Calibri" w:hAnsi="Calibri" w:cs="Calibri"/>
        </w:rPr>
        <w:t>Y</w:t>
      </w:r>
      <w:r w:rsidR="00F2672F" w:rsidRPr="00990412">
        <w:rPr>
          <w:rFonts w:ascii="Calibri" w:hAnsi="Calibri" w:cs="Calibri"/>
        </w:rPr>
        <w:t>ou</w:t>
      </w:r>
      <w:r w:rsidR="00F2672F" w:rsidRPr="00D52037">
        <w:rPr>
          <w:rFonts w:ascii="Aptos" w:hAnsi="Aptos" w:cs="Calibri"/>
        </w:rPr>
        <w:t xml:space="preserve"> will need to </w:t>
      </w:r>
      <w:r>
        <w:rPr>
          <w:rFonts w:ascii="Calibri" w:hAnsi="Calibri" w:cs="Calibri"/>
        </w:rPr>
        <w:t>transmit</w:t>
      </w:r>
      <w:r w:rsidR="007D626C" w:rsidRPr="00D52037">
        <w:rPr>
          <w:rFonts w:ascii="Aptos" w:hAnsi="Aptos" w:cs="Calibri"/>
        </w:rPr>
        <w:t xml:space="preserve"> valid data for </w:t>
      </w:r>
      <w:r w:rsidR="00F2672F" w:rsidRPr="00D52037">
        <w:rPr>
          <w:rFonts w:ascii="Aptos" w:hAnsi="Aptos" w:cs="Calibri"/>
        </w:rPr>
        <w:t>the field</w:t>
      </w:r>
      <w:r w:rsidR="005E0D34" w:rsidRPr="00D52037">
        <w:rPr>
          <w:rFonts w:ascii="Aptos" w:hAnsi="Aptos" w:cs="Calibri"/>
        </w:rPr>
        <w:t xml:space="preserve"> to clear the validation error</w:t>
      </w:r>
      <w:r w:rsidR="00F2672F" w:rsidRPr="00D52037">
        <w:rPr>
          <w:rFonts w:ascii="Aptos" w:hAnsi="Aptos" w:cs="Calibri"/>
        </w:rPr>
        <w:t>.</w:t>
      </w:r>
    </w:p>
    <w:p w14:paraId="07D3F45C" w14:textId="37EB31F3" w:rsidR="00F2672F" w:rsidRPr="00D52037" w:rsidRDefault="00F2672F" w:rsidP="00F2672F">
      <w:pPr>
        <w:pStyle w:val="ListParagraph"/>
        <w:numPr>
          <w:ilvl w:val="2"/>
          <w:numId w:val="30"/>
        </w:numPr>
        <w:rPr>
          <w:rFonts w:ascii="Aptos" w:hAnsi="Aptos" w:cs="Calibri"/>
        </w:rPr>
      </w:pPr>
      <w:r w:rsidRPr="00D52037">
        <w:rPr>
          <w:rFonts w:ascii="Aptos" w:hAnsi="Aptos" w:cs="Calibri"/>
        </w:rPr>
        <w:t>If you</w:t>
      </w:r>
      <w:r w:rsidR="007D626C" w:rsidRPr="00D52037">
        <w:rPr>
          <w:rFonts w:ascii="Aptos" w:hAnsi="Aptos" w:cs="Calibri"/>
        </w:rPr>
        <w:t>r</w:t>
      </w:r>
      <w:r w:rsidRPr="00D52037">
        <w:rPr>
          <w:rFonts w:ascii="Aptos" w:hAnsi="Aptos" w:cs="Calibri"/>
        </w:rPr>
        <w:t xml:space="preserve"> system has </w:t>
      </w:r>
      <w:r w:rsidR="007D626C" w:rsidRPr="00D52037">
        <w:rPr>
          <w:rFonts w:ascii="Aptos" w:hAnsi="Aptos" w:cs="Calibri"/>
        </w:rPr>
        <w:t xml:space="preserve">valid </w:t>
      </w:r>
      <w:r w:rsidRPr="00D52037">
        <w:rPr>
          <w:rFonts w:ascii="Aptos" w:hAnsi="Aptos" w:cs="Calibri"/>
        </w:rPr>
        <w:t>data that is different to the data populated b</w:t>
      </w:r>
      <w:r w:rsidR="007D626C" w:rsidRPr="00D52037">
        <w:rPr>
          <w:rFonts w:ascii="Aptos" w:hAnsi="Aptos" w:cs="Calibri"/>
        </w:rPr>
        <w:t>y</w:t>
      </w:r>
      <w:r w:rsidRPr="00D52037">
        <w:rPr>
          <w:rFonts w:ascii="Aptos" w:hAnsi="Aptos" w:cs="Calibri"/>
        </w:rPr>
        <w:t xml:space="preserve"> the TEC </w:t>
      </w:r>
      <w:r w:rsidR="007D626C" w:rsidRPr="00D52037">
        <w:rPr>
          <w:rFonts w:ascii="Aptos" w:hAnsi="Aptos" w:cs="Calibri"/>
        </w:rPr>
        <w:t>and you transmit this field as part of an update, then</w:t>
      </w:r>
      <w:r w:rsidR="00010F7C">
        <w:rPr>
          <w:rFonts w:ascii="Calibri" w:hAnsi="Calibri" w:cs="Calibri"/>
        </w:rPr>
        <w:t>:</w:t>
      </w:r>
    </w:p>
    <w:p w14:paraId="636976E6" w14:textId="66ABD4A5" w:rsidR="007D626C" w:rsidRPr="00D52037" w:rsidRDefault="00F2672F" w:rsidP="007D626C">
      <w:pPr>
        <w:pStyle w:val="ListParagraph"/>
        <w:numPr>
          <w:ilvl w:val="3"/>
          <w:numId w:val="30"/>
        </w:numPr>
        <w:rPr>
          <w:rFonts w:ascii="Aptos" w:hAnsi="Aptos" w:cs="Calibri"/>
        </w:rPr>
      </w:pPr>
      <w:r w:rsidRPr="00D52037">
        <w:rPr>
          <w:rFonts w:ascii="Aptos" w:hAnsi="Aptos" w:cs="Calibri"/>
        </w:rPr>
        <w:t>Your update will successfully change the data</w:t>
      </w:r>
      <w:r w:rsidR="007D626C" w:rsidRPr="00D52037">
        <w:rPr>
          <w:rFonts w:ascii="Aptos" w:hAnsi="Aptos" w:cs="Calibri"/>
        </w:rPr>
        <w:t xml:space="preserve"> </w:t>
      </w:r>
      <w:r w:rsidR="00096EA8" w:rsidRPr="00D52037">
        <w:rPr>
          <w:rFonts w:ascii="Aptos" w:hAnsi="Aptos" w:cs="Calibri"/>
        </w:rPr>
        <w:t xml:space="preserve">TEC populated </w:t>
      </w:r>
      <w:r w:rsidR="007D626C" w:rsidRPr="00D52037">
        <w:rPr>
          <w:rFonts w:ascii="Aptos" w:hAnsi="Aptos" w:cs="Calibri"/>
        </w:rPr>
        <w:t>in</w:t>
      </w:r>
      <w:r w:rsidR="00096EA8" w:rsidRPr="00D52037">
        <w:rPr>
          <w:rFonts w:ascii="Aptos" w:hAnsi="Aptos" w:cs="Calibri"/>
        </w:rPr>
        <w:t>to</w:t>
      </w:r>
      <w:r w:rsidR="007D626C" w:rsidRPr="00D52037">
        <w:rPr>
          <w:rFonts w:ascii="Aptos" w:hAnsi="Aptos" w:cs="Calibri"/>
        </w:rPr>
        <w:t xml:space="preserve"> the field. </w:t>
      </w:r>
    </w:p>
    <w:p w14:paraId="28D97192" w14:textId="34DEA92D" w:rsidR="007D626C" w:rsidRPr="00D52037" w:rsidRDefault="007D626C" w:rsidP="007D626C">
      <w:pPr>
        <w:pStyle w:val="ListParagraph"/>
        <w:numPr>
          <w:ilvl w:val="1"/>
          <w:numId w:val="30"/>
        </w:numPr>
        <w:rPr>
          <w:rFonts w:ascii="Aptos" w:hAnsi="Aptos" w:cs="Calibri"/>
        </w:rPr>
      </w:pPr>
      <w:r w:rsidRPr="00D52037">
        <w:rPr>
          <w:rFonts w:ascii="Aptos" w:hAnsi="Aptos" w:cs="Calibri"/>
        </w:rPr>
        <w:t xml:space="preserve">TEC Programme approval continues to be required for complex programmes (Programme Type is COM) and for simple programmes when Study Type Code(s) include NZA. This approval mechanism is now extended to micro-credentials – the new Programme Type of MC is now available for these programmes - do not use SCP for these programmes. </w:t>
      </w:r>
    </w:p>
    <w:tbl>
      <w:tblPr>
        <w:tblStyle w:val="TableGrid"/>
        <w:tblW w:w="14454" w:type="dxa"/>
        <w:tblLook w:val="04A0" w:firstRow="1" w:lastRow="0" w:firstColumn="1" w:lastColumn="0" w:noHBand="0" w:noVBand="1"/>
      </w:tblPr>
      <w:tblGrid>
        <w:gridCol w:w="2405"/>
        <w:gridCol w:w="5670"/>
        <w:gridCol w:w="6379"/>
      </w:tblGrid>
      <w:tr w:rsidR="001D36D7" w:rsidRPr="000D0EC5" w14:paraId="460B941E" w14:textId="77777777" w:rsidTr="00282C52">
        <w:trPr>
          <w:trHeight w:val="300"/>
          <w:tblHeader/>
        </w:trPr>
        <w:tc>
          <w:tcPr>
            <w:tcW w:w="2405" w:type="dxa"/>
            <w:shd w:val="clear" w:color="auto" w:fill="CAEDFB" w:themeFill="accent4" w:themeFillTint="33"/>
          </w:tcPr>
          <w:p w14:paraId="4A90E175" w14:textId="77777777" w:rsidR="001D36D7" w:rsidRPr="001D36D7" w:rsidRDefault="001D36D7" w:rsidP="00A23DCD">
            <w:pPr>
              <w:rPr>
                <w:rFonts w:ascii="Calibri" w:hAnsi="Calibri" w:cs="Calibri"/>
                <w:b/>
              </w:rPr>
            </w:pPr>
            <w:r w:rsidRPr="001D36D7">
              <w:rPr>
                <w:rFonts w:ascii="Calibri" w:hAnsi="Calibri" w:cs="Calibri"/>
                <w:b/>
              </w:rPr>
              <w:t>New data requirements:</w:t>
            </w:r>
          </w:p>
        </w:tc>
        <w:tc>
          <w:tcPr>
            <w:tcW w:w="5670" w:type="dxa"/>
            <w:shd w:val="clear" w:color="auto" w:fill="CAEDFB" w:themeFill="accent4" w:themeFillTint="33"/>
          </w:tcPr>
          <w:p w14:paraId="2BD32D9B" w14:textId="7954A57E" w:rsidR="001D36D7" w:rsidRPr="001D36D7" w:rsidRDefault="001D36D7" w:rsidP="00A23DCD">
            <w:pPr>
              <w:rPr>
                <w:rFonts w:ascii="Calibri" w:hAnsi="Calibri" w:cs="Calibri"/>
                <w:b/>
              </w:rPr>
            </w:pPr>
            <w:r w:rsidRPr="001D36D7">
              <w:rPr>
                <w:rFonts w:ascii="Calibri" w:hAnsi="Calibri" w:cs="Calibri"/>
                <w:b/>
              </w:rPr>
              <w:t>Purpose / Change</w:t>
            </w:r>
          </w:p>
        </w:tc>
        <w:tc>
          <w:tcPr>
            <w:tcW w:w="6379" w:type="dxa"/>
            <w:shd w:val="clear" w:color="auto" w:fill="CAEDFB" w:themeFill="accent4" w:themeFillTint="33"/>
          </w:tcPr>
          <w:p w14:paraId="00723B2B" w14:textId="3A4E1AEB" w:rsidR="001D36D7" w:rsidRPr="001D36D7" w:rsidRDefault="008B7BE8" w:rsidP="00A23DCD">
            <w:pPr>
              <w:rPr>
                <w:rFonts w:ascii="Calibri" w:hAnsi="Calibri" w:cs="Calibri"/>
                <w:b/>
              </w:rPr>
            </w:pPr>
            <w:r>
              <w:rPr>
                <w:rFonts w:ascii="Calibri" w:hAnsi="Calibri" w:cs="Calibri"/>
                <w:b/>
              </w:rPr>
              <w:t>B</w:t>
            </w:r>
            <w:r w:rsidR="001D36D7" w:rsidRPr="001D36D7">
              <w:rPr>
                <w:rFonts w:ascii="Calibri" w:hAnsi="Calibri" w:cs="Calibri"/>
                <w:b/>
              </w:rPr>
              <w:t>ackfill</w:t>
            </w:r>
            <w:r>
              <w:rPr>
                <w:rFonts w:ascii="Calibri" w:hAnsi="Calibri" w:cs="Calibri"/>
                <w:b/>
              </w:rPr>
              <w:t>ed (by TEC)</w:t>
            </w:r>
            <w:r w:rsidR="001D36D7">
              <w:rPr>
                <w:rFonts w:ascii="Calibri" w:hAnsi="Calibri" w:cs="Calibri"/>
                <w:b/>
              </w:rPr>
              <w:t xml:space="preserve"> for existing programmes</w:t>
            </w:r>
          </w:p>
        </w:tc>
      </w:tr>
      <w:tr w:rsidR="001D36D7" w:rsidRPr="000D0EC5" w14:paraId="08AC7833" w14:textId="77777777" w:rsidTr="00ED5719">
        <w:trPr>
          <w:trHeight w:val="300"/>
        </w:trPr>
        <w:tc>
          <w:tcPr>
            <w:tcW w:w="2405" w:type="dxa"/>
          </w:tcPr>
          <w:p w14:paraId="453E12B2" w14:textId="5D4420E0" w:rsidR="001D36D7" w:rsidRPr="001D36D7" w:rsidRDefault="001D36D7" w:rsidP="003D5BAB">
            <w:pPr>
              <w:rPr>
                <w:rFonts w:ascii="Calibri" w:hAnsi="Calibri" w:cs="Calibri"/>
              </w:rPr>
            </w:pPr>
            <w:r w:rsidRPr="001D36D7">
              <w:rPr>
                <w:rFonts w:ascii="Calibri" w:hAnsi="Calibri" w:cs="Calibri"/>
              </w:rPr>
              <w:t>NZSCED</w:t>
            </w:r>
          </w:p>
        </w:tc>
        <w:tc>
          <w:tcPr>
            <w:tcW w:w="5670" w:type="dxa"/>
          </w:tcPr>
          <w:p w14:paraId="356105A9" w14:textId="64706969" w:rsidR="001D36D7" w:rsidRPr="001D36D7" w:rsidRDefault="001D36D7" w:rsidP="003D5BAB">
            <w:pPr>
              <w:rPr>
                <w:rFonts w:ascii="Calibri" w:hAnsi="Calibri" w:cs="Calibri"/>
              </w:rPr>
            </w:pPr>
            <w:r w:rsidRPr="001D36D7">
              <w:rPr>
                <w:rFonts w:ascii="Calibri" w:hAnsi="Calibri" w:cs="Calibri"/>
              </w:rPr>
              <w:t>To identify the field of study associated with a programme version.</w:t>
            </w:r>
          </w:p>
        </w:tc>
        <w:tc>
          <w:tcPr>
            <w:tcW w:w="6379" w:type="dxa"/>
          </w:tcPr>
          <w:p w14:paraId="4CD2DCE0" w14:textId="47FA827E" w:rsidR="001D36D7" w:rsidRPr="001D36D7" w:rsidRDefault="001D36D7" w:rsidP="003D5BAB">
            <w:pPr>
              <w:rPr>
                <w:rFonts w:ascii="Calibri" w:hAnsi="Calibri" w:cs="Calibri"/>
              </w:rPr>
            </w:pPr>
            <w:r>
              <w:rPr>
                <w:rFonts w:ascii="Calibri" w:hAnsi="Calibri" w:cs="Calibri"/>
              </w:rPr>
              <w:t>Yes, TEC is</w:t>
            </w:r>
            <w:r w:rsidR="00A01562">
              <w:rPr>
                <w:rFonts w:ascii="Calibri" w:hAnsi="Calibri" w:cs="Calibri"/>
              </w:rPr>
              <w:t xml:space="preserve"> </w:t>
            </w:r>
            <w:r w:rsidR="00F470DA">
              <w:rPr>
                <w:rFonts w:ascii="Calibri" w:hAnsi="Calibri" w:cs="Calibri"/>
              </w:rPr>
              <w:t>migrating</w:t>
            </w:r>
            <w:r w:rsidR="003515C4">
              <w:rPr>
                <w:rFonts w:ascii="Calibri" w:hAnsi="Calibri" w:cs="Calibri"/>
              </w:rPr>
              <w:t xml:space="preserve"> NZSCED</w:t>
            </w:r>
            <w:r w:rsidRPr="001D36D7">
              <w:rPr>
                <w:rFonts w:ascii="Calibri" w:hAnsi="Calibri" w:cs="Calibri"/>
              </w:rPr>
              <w:t xml:space="preserve"> from</w:t>
            </w:r>
            <w:r w:rsidR="00B43613">
              <w:rPr>
                <w:rFonts w:ascii="Calibri" w:hAnsi="Calibri" w:cs="Calibri"/>
              </w:rPr>
              <w:t xml:space="preserve"> our</w:t>
            </w:r>
            <w:r w:rsidRPr="001D36D7">
              <w:rPr>
                <w:rFonts w:ascii="Calibri" w:hAnsi="Calibri" w:cs="Calibri"/>
              </w:rPr>
              <w:t xml:space="preserve"> current data set</w:t>
            </w:r>
            <w:r w:rsidR="00770CBE">
              <w:rPr>
                <w:rFonts w:ascii="Calibri" w:hAnsi="Calibri" w:cs="Calibri"/>
              </w:rPr>
              <w:t xml:space="preserve"> </w:t>
            </w:r>
            <w:r w:rsidR="00770CBE" w:rsidRPr="00F470DA">
              <w:rPr>
                <w:rFonts w:ascii="Calibri" w:hAnsi="Calibri" w:cs="Calibri"/>
              </w:rPr>
              <w:t>(</w:t>
            </w:r>
            <w:r w:rsidR="00C97B03" w:rsidRPr="00F470DA">
              <w:rPr>
                <w:rFonts w:ascii="Calibri" w:hAnsi="Calibri" w:cs="Calibri"/>
              </w:rPr>
              <w:t xml:space="preserve">using </w:t>
            </w:r>
            <w:r w:rsidR="00772C5D" w:rsidRPr="00F470DA">
              <w:rPr>
                <w:rFonts w:ascii="Calibri" w:hAnsi="Calibri" w:cs="Calibri"/>
              </w:rPr>
              <w:t xml:space="preserve">NZSCED </w:t>
            </w:r>
            <w:r w:rsidR="00C97B03" w:rsidRPr="00F470DA">
              <w:rPr>
                <w:rFonts w:ascii="Calibri" w:hAnsi="Calibri" w:cs="Calibri"/>
              </w:rPr>
              <w:t xml:space="preserve">as reported in </w:t>
            </w:r>
            <w:r w:rsidR="009F05E7" w:rsidRPr="00F470DA">
              <w:rPr>
                <w:rFonts w:ascii="Calibri" w:hAnsi="Calibri" w:cs="Calibri"/>
              </w:rPr>
              <w:t>the</w:t>
            </w:r>
            <w:r w:rsidR="00770CBE" w:rsidRPr="00F470DA">
              <w:rPr>
                <w:rFonts w:ascii="Calibri" w:hAnsi="Calibri" w:cs="Calibri"/>
              </w:rPr>
              <w:t xml:space="preserve"> </w:t>
            </w:r>
            <w:r w:rsidR="00AA3918" w:rsidRPr="00F470DA">
              <w:rPr>
                <w:rFonts w:ascii="Calibri" w:hAnsi="Calibri" w:cs="Calibri"/>
              </w:rPr>
              <w:t>Qlik app</w:t>
            </w:r>
            <w:r w:rsidR="009F05E7" w:rsidRPr="00F470DA">
              <w:rPr>
                <w:rFonts w:ascii="Calibri" w:hAnsi="Calibri" w:cs="Calibri"/>
              </w:rPr>
              <w:t>s</w:t>
            </w:r>
            <w:r w:rsidR="00AA3918" w:rsidRPr="00F470DA">
              <w:rPr>
                <w:rFonts w:ascii="Calibri" w:hAnsi="Calibri" w:cs="Calibri"/>
              </w:rPr>
              <w:t>)</w:t>
            </w:r>
          </w:p>
        </w:tc>
      </w:tr>
      <w:tr w:rsidR="001D36D7" w:rsidRPr="000D0EC5" w14:paraId="161F7FCA" w14:textId="77777777" w:rsidTr="00ED5719">
        <w:trPr>
          <w:trHeight w:val="300"/>
        </w:trPr>
        <w:tc>
          <w:tcPr>
            <w:tcW w:w="2405" w:type="dxa"/>
          </w:tcPr>
          <w:p w14:paraId="5B8BF47F" w14:textId="6FA534BE" w:rsidR="001D36D7" w:rsidRPr="001D36D7" w:rsidRDefault="001D36D7" w:rsidP="003D5BAB">
            <w:pPr>
              <w:rPr>
                <w:rFonts w:ascii="Calibri" w:hAnsi="Calibri" w:cs="Calibri"/>
              </w:rPr>
            </w:pPr>
            <w:r w:rsidRPr="001D36D7">
              <w:rPr>
                <w:rFonts w:ascii="Calibri" w:hAnsi="Calibri" w:cs="Calibri"/>
              </w:rPr>
              <w:t>Occupation Code</w:t>
            </w:r>
          </w:p>
        </w:tc>
        <w:tc>
          <w:tcPr>
            <w:tcW w:w="5670" w:type="dxa"/>
          </w:tcPr>
          <w:p w14:paraId="6549CEF2" w14:textId="45A4788C" w:rsidR="001D36D7" w:rsidRPr="001D36D7" w:rsidRDefault="001D36D7" w:rsidP="003D5BAB">
            <w:pPr>
              <w:rPr>
                <w:rFonts w:ascii="Calibri" w:hAnsi="Calibri" w:cs="Calibri"/>
              </w:rPr>
            </w:pPr>
            <w:r w:rsidRPr="001D36D7">
              <w:rPr>
                <w:rFonts w:ascii="Calibri" w:hAnsi="Calibri" w:cs="Calibri"/>
              </w:rPr>
              <w:t>To enable a better understanding of how programmes relate to occupations.</w:t>
            </w:r>
          </w:p>
        </w:tc>
        <w:tc>
          <w:tcPr>
            <w:tcW w:w="6379" w:type="dxa"/>
          </w:tcPr>
          <w:p w14:paraId="278EE082" w14:textId="440A2ACB" w:rsidR="001D36D7" w:rsidRPr="001D36D7" w:rsidRDefault="001D36D7" w:rsidP="003D5BAB">
            <w:pPr>
              <w:rPr>
                <w:rFonts w:ascii="Calibri" w:hAnsi="Calibri" w:cs="Calibri"/>
              </w:rPr>
            </w:pPr>
            <w:r>
              <w:rPr>
                <w:rFonts w:ascii="Calibri" w:hAnsi="Calibri" w:cs="Calibri"/>
              </w:rPr>
              <w:t xml:space="preserve">Yes, TEC is </w:t>
            </w:r>
            <w:r w:rsidR="00C34D1C">
              <w:rPr>
                <w:rFonts w:ascii="Calibri" w:hAnsi="Calibri" w:cs="Calibri"/>
              </w:rPr>
              <w:t>populating</w:t>
            </w:r>
            <w:r w:rsidR="00C34D1C" w:rsidRPr="001D36D7">
              <w:rPr>
                <w:rFonts w:ascii="Calibri" w:hAnsi="Calibri" w:cs="Calibri"/>
              </w:rPr>
              <w:t xml:space="preserve"> </w:t>
            </w:r>
            <w:r w:rsidRPr="001D36D7">
              <w:rPr>
                <w:rFonts w:ascii="Calibri" w:hAnsi="Calibri" w:cs="Calibri"/>
              </w:rPr>
              <w:t xml:space="preserve">as agreed with </w:t>
            </w:r>
            <w:r>
              <w:rPr>
                <w:rFonts w:ascii="Calibri" w:hAnsi="Calibri" w:cs="Calibri"/>
              </w:rPr>
              <w:t>each TEO</w:t>
            </w:r>
            <w:r w:rsidR="00BB4122">
              <w:rPr>
                <w:rFonts w:ascii="Calibri" w:hAnsi="Calibri" w:cs="Calibri"/>
              </w:rPr>
              <w:t xml:space="preserve">. If data is not </w:t>
            </w:r>
            <w:r w:rsidR="00B31D1C">
              <w:rPr>
                <w:rFonts w:ascii="Calibri" w:hAnsi="Calibri" w:cs="Calibri"/>
              </w:rPr>
              <w:t>populated by TEC</w:t>
            </w:r>
            <w:r w:rsidR="0057364E">
              <w:rPr>
                <w:rFonts w:ascii="Calibri" w:hAnsi="Calibri" w:cs="Calibri"/>
              </w:rPr>
              <w:t>, the</w:t>
            </w:r>
            <w:r w:rsidR="00BB4122">
              <w:rPr>
                <w:rFonts w:ascii="Calibri" w:hAnsi="Calibri" w:cs="Calibri"/>
              </w:rPr>
              <w:t xml:space="preserve"> </w:t>
            </w:r>
            <w:r w:rsidR="00BB4122" w:rsidRPr="00F56733">
              <w:rPr>
                <w:rFonts w:ascii="Calibri" w:hAnsi="Calibri" w:cs="Calibri"/>
              </w:rPr>
              <w:t xml:space="preserve">DXP will accept blank </w:t>
            </w:r>
            <w:r w:rsidR="00BB4122">
              <w:rPr>
                <w:rFonts w:ascii="Calibri" w:hAnsi="Calibri" w:cs="Calibri"/>
              </w:rPr>
              <w:t>entries for this field</w:t>
            </w:r>
            <w:r w:rsidR="00BB4122" w:rsidRPr="00F56733">
              <w:rPr>
                <w:rFonts w:ascii="Calibri" w:hAnsi="Calibri" w:cs="Calibri"/>
              </w:rPr>
              <w:t>.</w:t>
            </w:r>
          </w:p>
        </w:tc>
      </w:tr>
      <w:tr w:rsidR="001D36D7" w:rsidRPr="000D0EC5" w14:paraId="4CA7B3E0" w14:textId="77777777" w:rsidTr="00ED5719">
        <w:trPr>
          <w:trHeight w:val="300"/>
        </w:trPr>
        <w:tc>
          <w:tcPr>
            <w:tcW w:w="2405" w:type="dxa"/>
          </w:tcPr>
          <w:p w14:paraId="517620A7" w14:textId="7ED79BB4" w:rsidR="001D36D7" w:rsidRPr="001D36D7" w:rsidRDefault="001D36D7" w:rsidP="003D5BAB">
            <w:pPr>
              <w:rPr>
                <w:rFonts w:ascii="Calibri" w:hAnsi="Calibri" w:cs="Calibri"/>
              </w:rPr>
            </w:pPr>
            <w:r w:rsidRPr="001D36D7">
              <w:rPr>
                <w:rFonts w:ascii="Calibri" w:hAnsi="Calibri" w:cs="Calibri"/>
              </w:rPr>
              <w:t>Mode of Delivery</w:t>
            </w:r>
          </w:p>
        </w:tc>
        <w:tc>
          <w:tcPr>
            <w:tcW w:w="5670" w:type="dxa"/>
          </w:tcPr>
          <w:p w14:paraId="7D355AD3" w14:textId="5A0AA1C4" w:rsidR="001D36D7" w:rsidRPr="001D36D7" w:rsidRDefault="001D36D7" w:rsidP="003D5BAB">
            <w:pPr>
              <w:rPr>
                <w:rFonts w:ascii="Calibri" w:hAnsi="Calibri" w:cs="Calibri"/>
              </w:rPr>
            </w:pPr>
            <w:r w:rsidRPr="001D36D7">
              <w:rPr>
                <w:rFonts w:ascii="Calibri" w:hAnsi="Calibri" w:cs="Calibri"/>
              </w:rPr>
              <w:t xml:space="preserve">Required for the application of funding rates. </w:t>
            </w:r>
          </w:p>
        </w:tc>
        <w:tc>
          <w:tcPr>
            <w:tcW w:w="6379" w:type="dxa"/>
          </w:tcPr>
          <w:p w14:paraId="5DC84E7F" w14:textId="2FEE98A0" w:rsidR="001D36D7" w:rsidRPr="001D36D7" w:rsidRDefault="001D36D7" w:rsidP="003D5BAB">
            <w:pPr>
              <w:rPr>
                <w:rFonts w:ascii="Calibri" w:hAnsi="Calibri" w:cs="Calibri"/>
              </w:rPr>
            </w:pPr>
            <w:r>
              <w:rPr>
                <w:rFonts w:ascii="Calibri" w:hAnsi="Calibri" w:cs="Calibri"/>
              </w:rPr>
              <w:t xml:space="preserve">Yes, TEC is </w:t>
            </w:r>
            <w:r w:rsidR="00F470DA">
              <w:rPr>
                <w:rFonts w:ascii="Calibri" w:hAnsi="Calibri" w:cs="Calibri"/>
              </w:rPr>
              <w:t>migrating the</w:t>
            </w:r>
            <w:r w:rsidR="0057364E">
              <w:rPr>
                <w:rFonts w:ascii="Calibri" w:hAnsi="Calibri" w:cs="Calibri"/>
              </w:rPr>
              <w:t xml:space="preserve"> data</w:t>
            </w:r>
            <w:r w:rsidRPr="001D36D7">
              <w:rPr>
                <w:rFonts w:ascii="Calibri" w:hAnsi="Calibri" w:cs="Calibri"/>
              </w:rPr>
              <w:t xml:space="preserve"> from </w:t>
            </w:r>
            <w:r w:rsidR="000835C6">
              <w:rPr>
                <w:rFonts w:ascii="Calibri" w:hAnsi="Calibri" w:cs="Calibri"/>
              </w:rPr>
              <w:t xml:space="preserve">our </w:t>
            </w:r>
            <w:r w:rsidRPr="001D36D7">
              <w:rPr>
                <w:rFonts w:ascii="Calibri" w:hAnsi="Calibri" w:cs="Calibri"/>
              </w:rPr>
              <w:t>current data set</w:t>
            </w:r>
            <w:r w:rsidR="00A713DD">
              <w:rPr>
                <w:rFonts w:ascii="Calibri" w:hAnsi="Calibri" w:cs="Calibri"/>
              </w:rPr>
              <w:t xml:space="preserve"> </w:t>
            </w:r>
            <w:r w:rsidR="00A713DD" w:rsidRPr="00F470DA">
              <w:rPr>
                <w:rFonts w:ascii="Calibri" w:hAnsi="Calibri" w:cs="Calibri"/>
              </w:rPr>
              <w:t>(</w:t>
            </w:r>
            <w:r w:rsidR="006906A3" w:rsidRPr="00F470DA">
              <w:rPr>
                <w:rFonts w:ascii="Calibri" w:hAnsi="Calibri" w:cs="Calibri"/>
              </w:rPr>
              <w:t>Work-based</w:t>
            </w:r>
            <w:r w:rsidR="009F05E7" w:rsidRPr="00F470DA">
              <w:rPr>
                <w:rFonts w:ascii="Calibri" w:hAnsi="Calibri" w:cs="Calibri"/>
              </w:rPr>
              <w:t>, Assessment &amp; Verification and Work-based: Pathway to work</w:t>
            </w:r>
            <w:r w:rsidR="006906A3" w:rsidRPr="00F470DA">
              <w:rPr>
                <w:rFonts w:ascii="Calibri" w:hAnsi="Calibri" w:cs="Calibri"/>
              </w:rPr>
              <w:t xml:space="preserve"> </w:t>
            </w:r>
            <w:r w:rsidR="0057364E">
              <w:rPr>
                <w:rFonts w:ascii="Calibri" w:hAnsi="Calibri" w:cs="Calibri"/>
              </w:rPr>
              <w:t>mode</w:t>
            </w:r>
            <w:r w:rsidR="009F05E7">
              <w:rPr>
                <w:rFonts w:ascii="Calibri" w:hAnsi="Calibri" w:cs="Calibri"/>
              </w:rPr>
              <w:t>s</w:t>
            </w:r>
            <w:r w:rsidR="0057364E">
              <w:rPr>
                <w:rFonts w:ascii="Calibri" w:hAnsi="Calibri" w:cs="Calibri"/>
              </w:rPr>
              <w:t xml:space="preserve"> of delivery)</w:t>
            </w:r>
          </w:p>
        </w:tc>
      </w:tr>
      <w:tr w:rsidR="001D36D7" w:rsidRPr="000D0EC5" w14:paraId="69249587" w14:textId="77777777" w:rsidTr="00ED5719">
        <w:trPr>
          <w:trHeight w:val="300"/>
        </w:trPr>
        <w:tc>
          <w:tcPr>
            <w:tcW w:w="2405" w:type="dxa"/>
          </w:tcPr>
          <w:p w14:paraId="727DE41D" w14:textId="49A25109" w:rsidR="001D36D7" w:rsidRPr="001D36D7" w:rsidRDefault="001D36D7" w:rsidP="003D5BAB">
            <w:pPr>
              <w:rPr>
                <w:rFonts w:ascii="Calibri" w:hAnsi="Calibri" w:cs="Calibri"/>
              </w:rPr>
            </w:pPr>
            <w:r w:rsidRPr="001D36D7">
              <w:rPr>
                <w:rFonts w:ascii="Calibri" w:hAnsi="Calibri" w:cs="Calibri"/>
              </w:rPr>
              <w:t xml:space="preserve">Study Type Codes </w:t>
            </w:r>
          </w:p>
          <w:p w14:paraId="58AC68EC" w14:textId="0B5EE108" w:rsidR="001D36D7" w:rsidRPr="001D36D7" w:rsidRDefault="001D36D7" w:rsidP="003D5BAB">
            <w:pPr>
              <w:rPr>
                <w:rFonts w:ascii="Calibri" w:hAnsi="Calibri" w:cs="Calibri"/>
              </w:rPr>
            </w:pPr>
          </w:p>
        </w:tc>
        <w:tc>
          <w:tcPr>
            <w:tcW w:w="5670" w:type="dxa"/>
          </w:tcPr>
          <w:p w14:paraId="708BE621" w14:textId="67272102" w:rsidR="001D36D7" w:rsidRPr="001D36D7" w:rsidRDefault="001D36D7" w:rsidP="003D5BAB">
            <w:pPr>
              <w:rPr>
                <w:rFonts w:ascii="Calibri" w:hAnsi="Calibri" w:cs="Calibri"/>
              </w:rPr>
            </w:pPr>
            <w:r w:rsidRPr="001D36D7">
              <w:rPr>
                <w:rFonts w:ascii="Calibri" w:hAnsi="Calibri" w:cs="Calibri"/>
              </w:rPr>
              <w:t xml:space="preserve">To identify whether the programme is applicable to industry training </w:t>
            </w:r>
            <w:r w:rsidR="009F05E7">
              <w:rPr>
                <w:rFonts w:ascii="Calibri" w:hAnsi="Calibri" w:cs="Calibri"/>
              </w:rPr>
              <w:t xml:space="preserve">(IT) </w:t>
            </w:r>
            <w:r w:rsidRPr="001D36D7">
              <w:rPr>
                <w:rFonts w:ascii="Calibri" w:hAnsi="Calibri" w:cs="Calibri"/>
              </w:rPr>
              <w:t xml:space="preserve">and/or </w:t>
            </w:r>
            <w:r w:rsidR="009F05E7">
              <w:rPr>
                <w:rFonts w:ascii="Calibri" w:hAnsi="Calibri" w:cs="Calibri"/>
              </w:rPr>
              <w:t>New Zealand Apprenticeship (</w:t>
            </w:r>
            <w:r w:rsidR="009F05E7" w:rsidRPr="001D36D7">
              <w:rPr>
                <w:rFonts w:ascii="Calibri" w:hAnsi="Calibri" w:cs="Calibri"/>
              </w:rPr>
              <w:t>NZA</w:t>
            </w:r>
            <w:r w:rsidR="009F05E7">
              <w:rPr>
                <w:rFonts w:ascii="Calibri" w:hAnsi="Calibri" w:cs="Calibri"/>
              </w:rPr>
              <w:t>)</w:t>
            </w:r>
            <w:r w:rsidR="009F05E7" w:rsidRPr="001D36D7">
              <w:rPr>
                <w:rFonts w:ascii="Calibri" w:hAnsi="Calibri" w:cs="Calibri"/>
              </w:rPr>
              <w:t xml:space="preserve"> </w:t>
            </w:r>
            <w:r w:rsidRPr="001D36D7">
              <w:rPr>
                <w:rFonts w:ascii="Calibri" w:hAnsi="Calibri" w:cs="Calibri"/>
              </w:rPr>
              <w:t xml:space="preserve">and/or </w:t>
            </w:r>
            <w:r w:rsidR="009F05E7" w:rsidRPr="001D36D7">
              <w:rPr>
                <w:rFonts w:ascii="Calibri" w:hAnsi="Calibri" w:cs="Calibri"/>
              </w:rPr>
              <w:t>Trades Academies</w:t>
            </w:r>
            <w:r w:rsidR="009F05E7">
              <w:rPr>
                <w:rFonts w:ascii="Calibri" w:hAnsi="Calibri" w:cs="Calibri"/>
              </w:rPr>
              <w:t xml:space="preserve"> (TA)</w:t>
            </w:r>
            <w:r w:rsidRPr="001D36D7">
              <w:rPr>
                <w:rFonts w:ascii="Calibri" w:hAnsi="Calibri" w:cs="Calibri"/>
              </w:rPr>
              <w:t>.</w:t>
            </w:r>
          </w:p>
        </w:tc>
        <w:tc>
          <w:tcPr>
            <w:tcW w:w="6379" w:type="dxa"/>
          </w:tcPr>
          <w:p w14:paraId="782C9768" w14:textId="1C6D01F5" w:rsidR="001D36D7" w:rsidRPr="001D36D7" w:rsidRDefault="001D36D7" w:rsidP="003D5BAB">
            <w:pPr>
              <w:rPr>
                <w:rFonts w:ascii="Calibri" w:hAnsi="Calibri" w:cs="Calibri"/>
              </w:rPr>
            </w:pPr>
            <w:r>
              <w:rPr>
                <w:rFonts w:ascii="Calibri" w:hAnsi="Calibri" w:cs="Calibri"/>
              </w:rPr>
              <w:t xml:space="preserve">Yes, TEC is </w:t>
            </w:r>
            <w:r w:rsidR="00F470DA">
              <w:rPr>
                <w:rFonts w:ascii="Calibri" w:hAnsi="Calibri" w:cs="Calibri"/>
              </w:rPr>
              <w:t>migrating</w:t>
            </w:r>
            <w:r w:rsidRPr="001D36D7">
              <w:rPr>
                <w:rFonts w:ascii="Calibri" w:hAnsi="Calibri" w:cs="Calibri"/>
              </w:rPr>
              <w:t xml:space="preserve"> </w:t>
            </w:r>
            <w:r w:rsidR="000835C6">
              <w:rPr>
                <w:rFonts w:ascii="Calibri" w:hAnsi="Calibri" w:cs="Calibri"/>
              </w:rPr>
              <w:t xml:space="preserve">our </w:t>
            </w:r>
            <w:r w:rsidRPr="001D36D7">
              <w:rPr>
                <w:rFonts w:ascii="Calibri" w:hAnsi="Calibri" w:cs="Calibri"/>
              </w:rPr>
              <w:t>current data set</w:t>
            </w:r>
            <w:r w:rsidR="00770CBE">
              <w:rPr>
                <w:rFonts w:ascii="Calibri" w:hAnsi="Calibri" w:cs="Calibri"/>
              </w:rPr>
              <w:t xml:space="preserve"> (</w:t>
            </w:r>
            <w:r w:rsidR="00304C4F">
              <w:rPr>
                <w:rFonts w:ascii="Calibri" w:hAnsi="Calibri" w:cs="Calibri"/>
              </w:rPr>
              <w:t xml:space="preserve">with mapping from </w:t>
            </w:r>
            <w:r w:rsidR="009F05E7">
              <w:rPr>
                <w:rFonts w:ascii="Calibri" w:hAnsi="Calibri" w:cs="Calibri"/>
              </w:rPr>
              <w:t xml:space="preserve">ITR </w:t>
            </w:r>
            <w:r w:rsidR="00770CBE">
              <w:rPr>
                <w:rFonts w:ascii="Calibri" w:hAnsi="Calibri" w:cs="Calibri"/>
              </w:rPr>
              <w:t>funding source code)</w:t>
            </w:r>
          </w:p>
        </w:tc>
      </w:tr>
      <w:tr w:rsidR="001D36D7" w:rsidRPr="000D0EC5" w14:paraId="663CC273" w14:textId="77777777" w:rsidTr="00ED5719">
        <w:trPr>
          <w:trHeight w:val="300"/>
        </w:trPr>
        <w:tc>
          <w:tcPr>
            <w:tcW w:w="2405" w:type="dxa"/>
          </w:tcPr>
          <w:p w14:paraId="3B895CD8" w14:textId="7A48534A" w:rsidR="001D36D7" w:rsidRPr="001D36D7" w:rsidRDefault="001D36D7" w:rsidP="003D5BAB">
            <w:pPr>
              <w:rPr>
                <w:rFonts w:ascii="Calibri" w:hAnsi="Calibri" w:cs="Calibri"/>
              </w:rPr>
            </w:pPr>
            <w:r w:rsidRPr="001D36D7">
              <w:rPr>
                <w:rFonts w:ascii="Calibri" w:hAnsi="Calibri" w:cs="Calibri"/>
              </w:rPr>
              <w:t>Maximum Programme Fee</w:t>
            </w:r>
          </w:p>
        </w:tc>
        <w:tc>
          <w:tcPr>
            <w:tcW w:w="5670" w:type="dxa"/>
          </w:tcPr>
          <w:p w14:paraId="5AC06556" w14:textId="67FCEC37" w:rsidR="001D36D7" w:rsidRPr="001D36D7" w:rsidRDefault="001D36D7" w:rsidP="003D5BAB">
            <w:pPr>
              <w:rPr>
                <w:rFonts w:ascii="Calibri" w:hAnsi="Calibri" w:cs="Calibri"/>
              </w:rPr>
            </w:pPr>
            <w:r w:rsidRPr="001D36D7">
              <w:rPr>
                <w:rFonts w:ascii="Calibri" w:hAnsi="Calibri" w:cs="Calibri"/>
              </w:rPr>
              <w:t>The maximum fee amount (inclusive of GST) that a TEO charges for th</w:t>
            </w:r>
            <w:r w:rsidR="0036544F">
              <w:rPr>
                <w:rFonts w:ascii="Calibri" w:hAnsi="Calibri" w:cs="Calibri"/>
              </w:rPr>
              <w:t>e</w:t>
            </w:r>
            <w:r w:rsidRPr="001D36D7">
              <w:rPr>
                <w:rFonts w:ascii="Calibri" w:hAnsi="Calibri" w:cs="Calibri"/>
              </w:rPr>
              <w:t xml:space="preserve"> programme</w:t>
            </w:r>
            <w:r w:rsidR="00727B59">
              <w:rPr>
                <w:rFonts w:ascii="Calibri" w:hAnsi="Calibri" w:cs="Calibri"/>
              </w:rPr>
              <w:t>. It</w:t>
            </w:r>
            <w:r w:rsidR="00D63095">
              <w:rPr>
                <w:rFonts w:ascii="Calibri" w:hAnsi="Calibri" w:cs="Calibri"/>
              </w:rPr>
              <w:t xml:space="preserve"> i</w:t>
            </w:r>
            <w:r w:rsidR="00235C65">
              <w:rPr>
                <w:rFonts w:ascii="Calibri" w:hAnsi="Calibri" w:cs="Calibri"/>
              </w:rPr>
              <w:t>nclud</w:t>
            </w:r>
            <w:r w:rsidR="00727B59">
              <w:rPr>
                <w:rFonts w:ascii="Calibri" w:hAnsi="Calibri" w:cs="Calibri"/>
              </w:rPr>
              <w:t>es</w:t>
            </w:r>
            <w:r w:rsidR="00235C65">
              <w:rPr>
                <w:rFonts w:ascii="Calibri" w:hAnsi="Calibri" w:cs="Calibri"/>
              </w:rPr>
              <w:t xml:space="preserve"> </w:t>
            </w:r>
            <w:r w:rsidRPr="001D36D7">
              <w:rPr>
                <w:rFonts w:ascii="Calibri" w:hAnsi="Calibri" w:cs="Calibri"/>
              </w:rPr>
              <w:t>ALL fees associated with the programme, e.g. training, assessment, off job enrolments and resources. This value is used with the Learner Actual Fee Amount captured as part of the Fees Free data to understand the fees across vocational education.</w:t>
            </w:r>
          </w:p>
        </w:tc>
        <w:tc>
          <w:tcPr>
            <w:tcW w:w="6379" w:type="dxa"/>
          </w:tcPr>
          <w:p w14:paraId="63BF0BBC" w14:textId="7F09D646" w:rsidR="001D36D7" w:rsidRPr="001D36D7" w:rsidRDefault="001D36D7" w:rsidP="002232C2">
            <w:pPr>
              <w:rPr>
                <w:rFonts w:ascii="Calibri" w:hAnsi="Calibri" w:cs="Calibri"/>
              </w:rPr>
            </w:pPr>
            <w:r>
              <w:rPr>
                <w:rFonts w:ascii="Calibri" w:hAnsi="Calibri" w:cs="Calibri"/>
              </w:rPr>
              <w:t xml:space="preserve">Yes, TEC </w:t>
            </w:r>
            <w:r w:rsidRPr="001D36D7">
              <w:rPr>
                <w:rFonts w:ascii="Calibri" w:hAnsi="Calibri" w:cs="Calibri"/>
              </w:rPr>
              <w:t>is</w:t>
            </w:r>
            <w:r w:rsidR="006478AB">
              <w:rPr>
                <w:rFonts w:ascii="Calibri" w:hAnsi="Calibri" w:cs="Calibri"/>
              </w:rPr>
              <w:t xml:space="preserve"> populating </w:t>
            </w:r>
            <w:r w:rsidRPr="001D36D7">
              <w:rPr>
                <w:rFonts w:ascii="Calibri" w:hAnsi="Calibri" w:cs="Calibri"/>
              </w:rPr>
              <w:t xml:space="preserve">with </w:t>
            </w:r>
            <w:r w:rsidR="006478AB">
              <w:rPr>
                <w:rFonts w:ascii="Calibri" w:hAnsi="Calibri" w:cs="Calibri"/>
              </w:rPr>
              <w:t xml:space="preserve">a </w:t>
            </w:r>
            <w:r w:rsidRPr="001D36D7">
              <w:rPr>
                <w:rFonts w:ascii="Calibri" w:hAnsi="Calibri" w:cs="Calibri"/>
              </w:rPr>
              <w:t>fee of 0.01</w:t>
            </w:r>
            <w:r w:rsidR="00F53EF3">
              <w:rPr>
                <w:rFonts w:ascii="Calibri" w:hAnsi="Calibri" w:cs="Calibri"/>
              </w:rPr>
              <w:t xml:space="preserve"> (the field cannot be null</w:t>
            </w:r>
            <w:r w:rsidR="008C2EB6">
              <w:rPr>
                <w:rFonts w:ascii="Calibri" w:hAnsi="Calibri" w:cs="Calibri"/>
              </w:rPr>
              <w:t xml:space="preserve">, the one cent value entered by TEC </w:t>
            </w:r>
            <w:r w:rsidRPr="001D36D7">
              <w:rPr>
                <w:rFonts w:ascii="Calibri" w:hAnsi="Calibri" w:cs="Calibri"/>
              </w:rPr>
              <w:t>has no financial implications.</w:t>
            </w:r>
          </w:p>
          <w:p w14:paraId="319DD5C1" w14:textId="2B6AA8D9" w:rsidR="001D36D7" w:rsidRPr="001D36D7" w:rsidRDefault="000F6824" w:rsidP="002232C2">
            <w:pPr>
              <w:rPr>
                <w:rFonts w:ascii="Calibri" w:hAnsi="Calibri" w:cs="Calibri"/>
              </w:rPr>
            </w:pPr>
            <w:r>
              <w:rPr>
                <w:rFonts w:ascii="Calibri" w:hAnsi="Calibri" w:cs="Calibri"/>
              </w:rPr>
              <w:t xml:space="preserve">TEOs are able to </w:t>
            </w:r>
            <w:r w:rsidR="001D36D7" w:rsidRPr="001D36D7">
              <w:rPr>
                <w:rFonts w:ascii="Calibri" w:hAnsi="Calibri" w:cs="Calibri"/>
              </w:rPr>
              <w:t>update, but there is no obligation to do so</w:t>
            </w:r>
            <w:r w:rsidR="001149F5">
              <w:rPr>
                <w:rFonts w:ascii="Calibri" w:hAnsi="Calibri" w:cs="Calibri"/>
              </w:rPr>
              <w:t xml:space="preserve"> for programmes </w:t>
            </w:r>
            <w:r w:rsidR="001149F5" w:rsidRPr="00B35A56">
              <w:rPr>
                <w:rFonts w:ascii="Calibri" w:hAnsi="Calibri" w:cs="Calibri"/>
                <w:b/>
              </w:rPr>
              <w:t>that existed prior</w:t>
            </w:r>
            <w:r w:rsidR="001149F5">
              <w:rPr>
                <w:rFonts w:ascii="Calibri" w:hAnsi="Calibri" w:cs="Calibri"/>
              </w:rPr>
              <w:t xml:space="preserve"> to migration</w:t>
            </w:r>
            <w:r w:rsidR="001D36D7" w:rsidRPr="001D36D7">
              <w:rPr>
                <w:rFonts w:ascii="Calibri" w:hAnsi="Calibri" w:cs="Calibri"/>
              </w:rPr>
              <w:t>.</w:t>
            </w:r>
          </w:p>
          <w:p w14:paraId="130059BA" w14:textId="77777777" w:rsidR="001D36D7" w:rsidRPr="001D36D7" w:rsidRDefault="001D36D7" w:rsidP="002232C2">
            <w:pPr>
              <w:rPr>
                <w:rFonts w:ascii="Calibri" w:hAnsi="Calibri" w:cs="Calibri"/>
              </w:rPr>
            </w:pPr>
          </w:p>
          <w:p w14:paraId="222307F0" w14:textId="0610EC42" w:rsidR="001D36D7" w:rsidRPr="001D36D7" w:rsidRDefault="004E15CB" w:rsidP="003D5BAB">
            <w:pPr>
              <w:rPr>
                <w:rFonts w:ascii="Calibri" w:hAnsi="Calibri" w:cs="Calibri"/>
              </w:rPr>
            </w:pPr>
            <w:r>
              <w:rPr>
                <w:rFonts w:ascii="Calibri" w:hAnsi="Calibri" w:cs="Calibri"/>
              </w:rPr>
              <w:t xml:space="preserve">Following feedback we </w:t>
            </w:r>
            <w:r w:rsidR="00E502BE">
              <w:rPr>
                <w:rFonts w:ascii="Calibri" w:hAnsi="Calibri" w:cs="Calibri"/>
              </w:rPr>
              <w:t xml:space="preserve">have </w:t>
            </w:r>
            <w:r>
              <w:rPr>
                <w:rFonts w:ascii="Calibri" w:hAnsi="Calibri" w:cs="Calibri"/>
              </w:rPr>
              <w:t>amend</w:t>
            </w:r>
            <w:r w:rsidR="00E502BE">
              <w:rPr>
                <w:rFonts w:ascii="Calibri" w:hAnsi="Calibri" w:cs="Calibri"/>
              </w:rPr>
              <w:t>ed</w:t>
            </w:r>
            <w:r>
              <w:rPr>
                <w:rFonts w:ascii="Calibri" w:hAnsi="Calibri" w:cs="Calibri"/>
              </w:rPr>
              <w:t xml:space="preserve"> this field to allow for zero free programmes </w:t>
            </w:r>
            <w:r w:rsidR="00C81805">
              <w:rPr>
                <w:rFonts w:ascii="Calibri" w:hAnsi="Calibri" w:cs="Calibri"/>
              </w:rPr>
              <w:t xml:space="preserve">- </w:t>
            </w:r>
            <w:r w:rsidR="006A50D2">
              <w:rPr>
                <w:rFonts w:ascii="Calibri" w:hAnsi="Calibri" w:cs="Calibri"/>
              </w:rPr>
              <w:t xml:space="preserve">so </w:t>
            </w:r>
            <w:r w:rsidR="00C81805">
              <w:rPr>
                <w:rFonts w:ascii="Calibri" w:hAnsi="Calibri" w:cs="Calibri"/>
              </w:rPr>
              <w:t xml:space="preserve">going forward </w:t>
            </w:r>
            <w:r w:rsidR="006A50D2">
              <w:rPr>
                <w:rFonts w:ascii="Calibri" w:hAnsi="Calibri" w:cs="Calibri"/>
              </w:rPr>
              <w:t>you can enter 0.00</w:t>
            </w:r>
            <w:r w:rsidR="005D721B">
              <w:rPr>
                <w:rFonts w:ascii="Calibri" w:hAnsi="Calibri" w:cs="Calibri"/>
              </w:rPr>
              <w:t xml:space="preserve"> into the field</w:t>
            </w:r>
            <w:r w:rsidR="00C81805">
              <w:rPr>
                <w:rFonts w:ascii="Calibri" w:hAnsi="Calibri" w:cs="Calibri"/>
              </w:rPr>
              <w:t xml:space="preserve"> if applicable</w:t>
            </w:r>
            <w:r w:rsidR="00F470DA">
              <w:rPr>
                <w:rFonts w:ascii="Calibri" w:hAnsi="Calibri" w:cs="Calibri"/>
              </w:rPr>
              <w:t>.</w:t>
            </w:r>
            <w:r w:rsidR="00E502BE">
              <w:rPr>
                <w:rFonts w:ascii="Calibri" w:hAnsi="Calibri" w:cs="Calibri"/>
              </w:rPr>
              <w:t xml:space="preserve"> </w:t>
            </w:r>
          </w:p>
        </w:tc>
      </w:tr>
    </w:tbl>
    <w:p w14:paraId="62A4DF17" w14:textId="77777777" w:rsidR="00930D72" w:rsidRDefault="00930D72" w:rsidP="00874F68">
      <w:pPr>
        <w:rPr>
          <w:b/>
          <w:color w:val="215E99" w:themeColor="text2" w:themeTint="BF"/>
          <w:sz w:val="24"/>
          <w:szCs w:val="24"/>
        </w:rPr>
      </w:pPr>
    </w:p>
    <w:p w14:paraId="2A57981D" w14:textId="77777777" w:rsidR="006C188A" w:rsidRDefault="006C188A">
      <w:pPr>
        <w:rPr>
          <w:b/>
          <w:color w:val="215E99" w:themeColor="text2" w:themeTint="BF"/>
          <w:sz w:val="24"/>
          <w:szCs w:val="24"/>
        </w:rPr>
      </w:pPr>
      <w:r>
        <w:rPr>
          <w:b/>
          <w:color w:val="215E99" w:themeColor="text2" w:themeTint="BF"/>
          <w:sz w:val="24"/>
          <w:szCs w:val="24"/>
        </w:rPr>
        <w:br w:type="page"/>
      </w:r>
    </w:p>
    <w:p w14:paraId="29F5987D" w14:textId="707096D7" w:rsidR="00874F68" w:rsidRDefault="007D6626" w:rsidP="00874F68">
      <w:pPr>
        <w:rPr>
          <w:b/>
          <w:color w:val="215E99" w:themeColor="text2" w:themeTint="BF"/>
          <w:sz w:val="24"/>
          <w:szCs w:val="24"/>
        </w:rPr>
      </w:pPr>
      <w:r>
        <w:rPr>
          <w:b/>
          <w:color w:val="215E99" w:themeColor="text2" w:themeTint="BF"/>
          <w:sz w:val="24"/>
          <w:szCs w:val="24"/>
        </w:rPr>
        <w:t xml:space="preserve">New </w:t>
      </w:r>
      <w:r w:rsidR="00874F68" w:rsidRPr="00590E2E">
        <w:rPr>
          <w:b/>
          <w:color w:val="215E99" w:themeColor="text2" w:themeTint="BF"/>
          <w:sz w:val="24"/>
          <w:szCs w:val="24"/>
        </w:rPr>
        <w:t>Training Agreement</w:t>
      </w:r>
      <w:r>
        <w:rPr>
          <w:b/>
          <w:color w:val="215E99" w:themeColor="text2" w:themeTint="BF"/>
          <w:sz w:val="24"/>
          <w:szCs w:val="24"/>
        </w:rPr>
        <w:t xml:space="preserve"> fields</w:t>
      </w:r>
    </w:p>
    <w:p w14:paraId="63A9458D" w14:textId="4AACA8F4" w:rsidR="0038168F" w:rsidRPr="00D52037" w:rsidRDefault="00887B7C" w:rsidP="00ED5719">
      <w:pPr>
        <w:pStyle w:val="ListParagraph"/>
        <w:numPr>
          <w:ilvl w:val="1"/>
          <w:numId w:val="30"/>
        </w:numPr>
        <w:rPr>
          <w:rFonts w:cs="Calibri"/>
        </w:rPr>
      </w:pPr>
      <w:r w:rsidRPr="00D52037">
        <w:rPr>
          <w:rFonts w:cs="Calibri"/>
        </w:rPr>
        <w:t>From 1 July 2025 m</w:t>
      </w:r>
      <w:r w:rsidR="0038168F" w:rsidRPr="00D52037">
        <w:rPr>
          <w:rFonts w:cs="Calibri"/>
        </w:rPr>
        <w:t>ost fields are mandatory</w:t>
      </w:r>
      <w:r w:rsidR="0008443E" w:rsidRPr="00D52037">
        <w:rPr>
          <w:rFonts w:cs="Calibri"/>
        </w:rPr>
        <w:t xml:space="preserve"> </w:t>
      </w:r>
      <w:r w:rsidR="009E44F2" w:rsidRPr="00D52037">
        <w:rPr>
          <w:rFonts w:cs="Calibri"/>
        </w:rPr>
        <w:t xml:space="preserve">for </w:t>
      </w:r>
      <w:r w:rsidR="00332920" w:rsidRPr="00D52037">
        <w:rPr>
          <w:rFonts w:cs="Calibri"/>
        </w:rPr>
        <w:t>new training agreements</w:t>
      </w:r>
      <w:r w:rsidR="002A4659" w:rsidRPr="00D52037">
        <w:rPr>
          <w:rFonts w:cs="Calibri"/>
        </w:rPr>
        <w:t xml:space="preserve"> (including new </w:t>
      </w:r>
      <w:r w:rsidR="00775433" w:rsidRPr="00D52037">
        <w:rPr>
          <w:rFonts w:cs="Calibri"/>
        </w:rPr>
        <w:t xml:space="preserve">training </w:t>
      </w:r>
      <w:r w:rsidR="002A4659" w:rsidRPr="00D52037">
        <w:rPr>
          <w:rFonts w:cs="Calibri"/>
        </w:rPr>
        <w:t>agreements for existing learners)</w:t>
      </w:r>
      <w:r w:rsidR="009E5072" w:rsidRPr="00D52037">
        <w:rPr>
          <w:rFonts w:cs="Calibri"/>
        </w:rPr>
        <w:t xml:space="preserve"> </w:t>
      </w:r>
      <w:r w:rsidR="0044594D" w:rsidRPr="00D52037">
        <w:rPr>
          <w:rFonts w:cs="Calibri"/>
        </w:rPr>
        <w:t>– see below</w:t>
      </w:r>
    </w:p>
    <w:p w14:paraId="477D6E1E" w14:textId="231C2A43" w:rsidR="00860182" w:rsidRPr="00D52037" w:rsidRDefault="0038168F" w:rsidP="00ED5719">
      <w:pPr>
        <w:pStyle w:val="ListParagraph"/>
        <w:numPr>
          <w:ilvl w:val="1"/>
          <w:numId w:val="30"/>
        </w:numPr>
        <w:rPr>
          <w:rFonts w:cs="Calibri"/>
        </w:rPr>
      </w:pPr>
      <w:r w:rsidRPr="00D52037">
        <w:rPr>
          <w:rFonts w:cs="Calibri"/>
        </w:rPr>
        <w:t xml:space="preserve">TEC will populate data into </w:t>
      </w:r>
      <w:r w:rsidR="00C37669" w:rsidRPr="00D52037">
        <w:rPr>
          <w:rFonts w:cs="Calibri"/>
        </w:rPr>
        <w:t>some ne</w:t>
      </w:r>
      <w:r w:rsidRPr="00D52037">
        <w:rPr>
          <w:rFonts w:cs="Calibri"/>
        </w:rPr>
        <w:t xml:space="preserve">w </w:t>
      </w:r>
      <w:r w:rsidR="00440A5B" w:rsidRPr="00D52037">
        <w:rPr>
          <w:rFonts w:cs="Calibri"/>
        </w:rPr>
        <w:t xml:space="preserve">training agreement </w:t>
      </w:r>
      <w:r w:rsidRPr="00D52037">
        <w:rPr>
          <w:rFonts w:cs="Calibri"/>
        </w:rPr>
        <w:t>fields as part of data mig</w:t>
      </w:r>
      <w:r w:rsidR="001E565B" w:rsidRPr="00D52037">
        <w:rPr>
          <w:rFonts w:cs="Calibri"/>
        </w:rPr>
        <w:t>r</w:t>
      </w:r>
      <w:r w:rsidRPr="00D52037">
        <w:rPr>
          <w:rFonts w:cs="Calibri"/>
        </w:rPr>
        <w:t>ation - see below</w:t>
      </w:r>
      <w:r w:rsidR="00775433" w:rsidRPr="00D52037">
        <w:rPr>
          <w:rFonts w:cs="Calibri"/>
        </w:rPr>
        <w:t>. W</w:t>
      </w:r>
      <w:r w:rsidR="00F56733" w:rsidRPr="00D52037">
        <w:rPr>
          <w:rFonts w:cs="Calibri"/>
        </w:rPr>
        <w:t xml:space="preserve">here data is not </w:t>
      </w:r>
      <w:r w:rsidR="00055791" w:rsidRPr="00D52037">
        <w:rPr>
          <w:rFonts w:cs="Calibri"/>
        </w:rPr>
        <w:t>populated by TEC</w:t>
      </w:r>
      <w:r w:rsidR="00F56733" w:rsidRPr="00D52037">
        <w:rPr>
          <w:rFonts w:cs="Calibri"/>
        </w:rPr>
        <w:t xml:space="preserve"> </w:t>
      </w:r>
      <w:r w:rsidR="009E5072" w:rsidRPr="00D52037">
        <w:rPr>
          <w:rFonts w:cs="Calibri"/>
        </w:rPr>
        <w:t xml:space="preserve">the </w:t>
      </w:r>
      <w:r w:rsidR="00F56733" w:rsidRPr="00D52037">
        <w:rPr>
          <w:rFonts w:cs="Calibri"/>
        </w:rPr>
        <w:t>DXP will accept blank fields.</w:t>
      </w:r>
    </w:p>
    <w:tbl>
      <w:tblPr>
        <w:tblStyle w:val="TableGrid"/>
        <w:tblW w:w="14454" w:type="dxa"/>
        <w:tblLook w:val="04A0" w:firstRow="1" w:lastRow="0" w:firstColumn="1" w:lastColumn="0" w:noHBand="0" w:noVBand="1"/>
      </w:tblPr>
      <w:tblGrid>
        <w:gridCol w:w="2405"/>
        <w:gridCol w:w="5387"/>
        <w:gridCol w:w="3969"/>
        <w:gridCol w:w="2693"/>
      </w:tblGrid>
      <w:tr w:rsidR="00E83786" w:rsidRPr="000D0EC5" w14:paraId="66A753FA" w14:textId="77777777" w:rsidTr="00282C52">
        <w:trPr>
          <w:trHeight w:val="300"/>
          <w:tblHeader/>
        </w:trPr>
        <w:tc>
          <w:tcPr>
            <w:tcW w:w="2405" w:type="dxa"/>
            <w:shd w:val="clear" w:color="auto" w:fill="CAEDFB" w:themeFill="accent4" w:themeFillTint="33"/>
          </w:tcPr>
          <w:p w14:paraId="5932A005" w14:textId="77777777" w:rsidR="001D36D7" w:rsidRPr="001D36D7" w:rsidRDefault="001D36D7" w:rsidP="001B6F20">
            <w:pPr>
              <w:rPr>
                <w:rFonts w:ascii="Calibri" w:hAnsi="Calibri" w:cs="Calibri"/>
                <w:b/>
              </w:rPr>
            </w:pPr>
            <w:r w:rsidRPr="001D36D7">
              <w:rPr>
                <w:rFonts w:ascii="Calibri" w:hAnsi="Calibri" w:cs="Calibri"/>
                <w:b/>
              </w:rPr>
              <w:t>New data requirements:</w:t>
            </w:r>
          </w:p>
        </w:tc>
        <w:tc>
          <w:tcPr>
            <w:tcW w:w="5387" w:type="dxa"/>
            <w:shd w:val="clear" w:color="auto" w:fill="CAEDFB" w:themeFill="accent4" w:themeFillTint="33"/>
          </w:tcPr>
          <w:p w14:paraId="72E58BF0" w14:textId="106A6586" w:rsidR="001D36D7" w:rsidRPr="001D36D7" w:rsidRDefault="001D36D7" w:rsidP="001B6F20">
            <w:pPr>
              <w:rPr>
                <w:rFonts w:ascii="Calibri" w:hAnsi="Calibri" w:cs="Calibri"/>
                <w:b/>
              </w:rPr>
            </w:pPr>
            <w:r w:rsidRPr="001D36D7">
              <w:rPr>
                <w:rFonts w:ascii="Calibri" w:hAnsi="Calibri" w:cs="Calibri"/>
                <w:b/>
              </w:rPr>
              <w:t>Purpose /change</w:t>
            </w:r>
          </w:p>
        </w:tc>
        <w:tc>
          <w:tcPr>
            <w:tcW w:w="3969" w:type="dxa"/>
            <w:shd w:val="clear" w:color="auto" w:fill="CAEDFB" w:themeFill="accent4" w:themeFillTint="33"/>
          </w:tcPr>
          <w:p w14:paraId="71BF98A4" w14:textId="4D556F1B" w:rsidR="001D36D7" w:rsidRPr="001D36D7" w:rsidRDefault="008B7BE8" w:rsidP="001B6F20">
            <w:pPr>
              <w:rPr>
                <w:rFonts w:ascii="Calibri" w:hAnsi="Calibri" w:cs="Calibri"/>
                <w:b/>
              </w:rPr>
            </w:pPr>
            <w:r>
              <w:rPr>
                <w:rFonts w:ascii="Calibri" w:hAnsi="Calibri" w:cs="Calibri"/>
                <w:b/>
              </w:rPr>
              <w:t>B</w:t>
            </w:r>
            <w:r w:rsidR="001D36D7" w:rsidRPr="00A040F1">
              <w:rPr>
                <w:rFonts w:ascii="Calibri" w:hAnsi="Calibri" w:cs="Calibri"/>
                <w:b/>
              </w:rPr>
              <w:t>ackfill</w:t>
            </w:r>
            <w:r>
              <w:rPr>
                <w:rFonts w:ascii="Calibri" w:hAnsi="Calibri" w:cs="Calibri"/>
                <w:b/>
              </w:rPr>
              <w:t>ed (by TEC)</w:t>
            </w:r>
            <w:r w:rsidR="001D36D7">
              <w:rPr>
                <w:rFonts w:ascii="Calibri" w:hAnsi="Calibri" w:cs="Calibri"/>
                <w:b/>
              </w:rPr>
              <w:t xml:space="preserve"> for existing training agreements</w:t>
            </w:r>
          </w:p>
        </w:tc>
        <w:tc>
          <w:tcPr>
            <w:tcW w:w="2693" w:type="dxa"/>
            <w:shd w:val="clear" w:color="auto" w:fill="CAEDFB" w:themeFill="accent4" w:themeFillTint="33"/>
          </w:tcPr>
          <w:p w14:paraId="0631B40A" w14:textId="1DDBE220" w:rsidR="001D36D7" w:rsidRPr="001D36D7" w:rsidRDefault="001D36D7" w:rsidP="001B6F20">
            <w:pPr>
              <w:rPr>
                <w:rFonts w:ascii="Calibri" w:hAnsi="Calibri" w:cs="Calibri"/>
                <w:b/>
              </w:rPr>
            </w:pPr>
            <w:r w:rsidRPr="001D36D7">
              <w:rPr>
                <w:rFonts w:ascii="Calibri" w:hAnsi="Calibri" w:cs="Calibri"/>
                <w:b/>
                <w:bCs/>
              </w:rPr>
              <w:t>Mandatory</w:t>
            </w:r>
            <w:r>
              <w:rPr>
                <w:rFonts w:ascii="Calibri" w:hAnsi="Calibri" w:cs="Calibri"/>
                <w:b/>
                <w:bCs/>
              </w:rPr>
              <w:t xml:space="preserve"> from </w:t>
            </w:r>
            <w:r w:rsidR="00F470DA">
              <w:rPr>
                <w:rFonts w:ascii="Calibri" w:hAnsi="Calibri" w:cs="Calibri"/>
                <w:b/>
                <w:bCs/>
              </w:rPr>
              <w:t>4 August</w:t>
            </w:r>
            <w:r w:rsidR="00B35A56">
              <w:rPr>
                <w:rFonts w:ascii="Calibri" w:hAnsi="Calibri" w:cs="Calibri"/>
                <w:b/>
                <w:bCs/>
              </w:rPr>
              <w:t xml:space="preserve"> for new TAs</w:t>
            </w:r>
            <w:r>
              <w:rPr>
                <w:rFonts w:ascii="Calibri" w:hAnsi="Calibri" w:cs="Calibri"/>
                <w:b/>
                <w:bCs/>
              </w:rPr>
              <w:t>?</w:t>
            </w:r>
          </w:p>
        </w:tc>
      </w:tr>
      <w:tr w:rsidR="00E83786" w:rsidRPr="000D0EC5" w14:paraId="72BA5E11" w14:textId="77777777" w:rsidTr="009D26EC">
        <w:trPr>
          <w:trHeight w:val="300"/>
        </w:trPr>
        <w:tc>
          <w:tcPr>
            <w:tcW w:w="2405" w:type="dxa"/>
          </w:tcPr>
          <w:p w14:paraId="3C4D9CAD" w14:textId="3CB6EF39" w:rsidR="001D36D7" w:rsidRPr="001D36D7" w:rsidRDefault="001D36D7" w:rsidP="003D5BAB">
            <w:pPr>
              <w:rPr>
                <w:rFonts w:ascii="Calibri" w:hAnsi="Calibri" w:cs="Calibri"/>
              </w:rPr>
            </w:pPr>
            <w:r w:rsidRPr="001D36D7">
              <w:rPr>
                <w:rFonts w:ascii="Calibri" w:hAnsi="Calibri" w:cs="Calibri"/>
              </w:rPr>
              <w:t>NZBN</w:t>
            </w:r>
          </w:p>
        </w:tc>
        <w:tc>
          <w:tcPr>
            <w:tcW w:w="5387" w:type="dxa"/>
          </w:tcPr>
          <w:p w14:paraId="2427D370" w14:textId="6A99138B" w:rsidR="001D36D7" w:rsidRPr="001D36D7" w:rsidRDefault="001D36D7" w:rsidP="003D5BAB">
            <w:pPr>
              <w:rPr>
                <w:rFonts w:ascii="Calibri" w:hAnsi="Calibri" w:cs="Calibri"/>
              </w:rPr>
            </w:pPr>
            <w:r w:rsidRPr="001D36D7">
              <w:rPr>
                <w:rFonts w:ascii="Calibri" w:hAnsi="Calibri" w:cs="Calibri"/>
              </w:rPr>
              <w:t>To help identify employers where they have a NZBN.</w:t>
            </w:r>
          </w:p>
        </w:tc>
        <w:tc>
          <w:tcPr>
            <w:tcW w:w="3969" w:type="dxa"/>
          </w:tcPr>
          <w:p w14:paraId="6A30D05E" w14:textId="18B4128D" w:rsidR="001D36D7" w:rsidRPr="001D36D7" w:rsidRDefault="001D36D7" w:rsidP="003D5BAB">
            <w:pPr>
              <w:rPr>
                <w:rFonts w:ascii="Calibri" w:hAnsi="Calibri" w:cs="Calibri"/>
              </w:rPr>
            </w:pPr>
            <w:r>
              <w:rPr>
                <w:rFonts w:ascii="Calibri" w:hAnsi="Calibri" w:cs="Calibri"/>
              </w:rPr>
              <w:t>No</w:t>
            </w:r>
          </w:p>
        </w:tc>
        <w:tc>
          <w:tcPr>
            <w:tcW w:w="2693" w:type="dxa"/>
          </w:tcPr>
          <w:p w14:paraId="0880602F" w14:textId="5F4ED7B5" w:rsidR="001D36D7" w:rsidRPr="001D36D7" w:rsidRDefault="001D36D7" w:rsidP="003D5BAB">
            <w:pPr>
              <w:rPr>
                <w:rFonts w:ascii="Calibri" w:hAnsi="Calibri" w:cs="Calibri"/>
              </w:rPr>
            </w:pPr>
            <w:r w:rsidRPr="001D36D7">
              <w:rPr>
                <w:rFonts w:ascii="Calibri" w:hAnsi="Calibri" w:cs="Calibri"/>
              </w:rPr>
              <w:t>No</w:t>
            </w:r>
          </w:p>
        </w:tc>
      </w:tr>
      <w:tr w:rsidR="00E83786" w:rsidRPr="000D0EC5" w14:paraId="60411F0B" w14:textId="77777777" w:rsidTr="009D26EC">
        <w:trPr>
          <w:trHeight w:val="300"/>
        </w:trPr>
        <w:tc>
          <w:tcPr>
            <w:tcW w:w="2405" w:type="dxa"/>
          </w:tcPr>
          <w:p w14:paraId="06BA2343" w14:textId="77777777" w:rsidR="001D36D7" w:rsidRDefault="001D36D7" w:rsidP="003D5BAB">
            <w:pPr>
              <w:rPr>
                <w:rFonts w:ascii="Calibri" w:hAnsi="Calibri" w:cs="Calibri"/>
              </w:rPr>
            </w:pPr>
            <w:r w:rsidRPr="001D36D7">
              <w:rPr>
                <w:rFonts w:ascii="Calibri" w:hAnsi="Calibri" w:cs="Calibri"/>
              </w:rPr>
              <w:t>Employment Region Code</w:t>
            </w:r>
          </w:p>
          <w:p w14:paraId="72B796F4" w14:textId="544EC1E1" w:rsidR="00D73DC9" w:rsidRPr="001D36D7" w:rsidRDefault="00D73DC9" w:rsidP="003D5BAB">
            <w:pPr>
              <w:rPr>
                <w:rFonts w:ascii="Calibri" w:hAnsi="Calibri" w:cs="Calibri"/>
              </w:rPr>
            </w:pPr>
            <w:r>
              <w:rPr>
                <w:rFonts w:ascii="Calibri" w:hAnsi="Calibri" w:cs="Calibri"/>
              </w:rPr>
              <w:t>(and see below)</w:t>
            </w:r>
          </w:p>
        </w:tc>
        <w:tc>
          <w:tcPr>
            <w:tcW w:w="5387" w:type="dxa"/>
          </w:tcPr>
          <w:p w14:paraId="11A095DB" w14:textId="03A88D33" w:rsidR="001D36D7" w:rsidRPr="001D36D7" w:rsidRDefault="001D36D7" w:rsidP="003D5BAB">
            <w:pPr>
              <w:rPr>
                <w:rFonts w:ascii="Calibri" w:hAnsi="Calibri" w:cs="Calibri"/>
              </w:rPr>
            </w:pPr>
            <w:r w:rsidRPr="001D36D7">
              <w:rPr>
                <w:rFonts w:ascii="Calibri" w:hAnsi="Calibri" w:cs="Calibri"/>
              </w:rPr>
              <w:t>To provide details where learners are employed.</w:t>
            </w:r>
          </w:p>
        </w:tc>
        <w:tc>
          <w:tcPr>
            <w:tcW w:w="3969" w:type="dxa"/>
          </w:tcPr>
          <w:p w14:paraId="59082237" w14:textId="5A6AB176" w:rsidR="001D36D7" w:rsidRPr="001D36D7" w:rsidRDefault="001D36D7" w:rsidP="003D5BAB">
            <w:pPr>
              <w:rPr>
                <w:rFonts w:ascii="Calibri" w:hAnsi="Calibri" w:cs="Calibri"/>
              </w:rPr>
            </w:pPr>
            <w:r>
              <w:rPr>
                <w:rFonts w:ascii="Calibri" w:hAnsi="Calibri" w:cs="Calibri"/>
              </w:rPr>
              <w:t xml:space="preserve">Yes, </w:t>
            </w:r>
            <w:r w:rsidR="00F470DA">
              <w:rPr>
                <w:rFonts w:ascii="Calibri" w:hAnsi="Calibri" w:cs="Calibri"/>
              </w:rPr>
              <w:t>migrating</w:t>
            </w:r>
            <w:r w:rsidR="00EB61AA">
              <w:rPr>
                <w:rFonts w:ascii="Calibri" w:hAnsi="Calibri" w:cs="Calibri"/>
              </w:rPr>
              <w:t xml:space="preserve"> </w:t>
            </w:r>
            <w:r w:rsidRPr="001D36D7">
              <w:rPr>
                <w:rFonts w:ascii="Calibri" w:hAnsi="Calibri" w:cs="Calibri"/>
              </w:rPr>
              <w:t>existing data</w:t>
            </w:r>
            <w:r w:rsidR="004F7FA6">
              <w:rPr>
                <w:rFonts w:ascii="Calibri" w:hAnsi="Calibri" w:cs="Calibri"/>
              </w:rPr>
              <w:t xml:space="preserve"> (</w:t>
            </w:r>
            <w:r w:rsidR="00EB61AA">
              <w:rPr>
                <w:rFonts w:ascii="Calibri" w:hAnsi="Calibri" w:cs="Calibri"/>
              </w:rPr>
              <w:t xml:space="preserve">mapped </w:t>
            </w:r>
            <w:r w:rsidR="008E7671">
              <w:rPr>
                <w:rFonts w:ascii="Calibri" w:hAnsi="Calibri" w:cs="Calibri"/>
              </w:rPr>
              <w:t xml:space="preserve">from </w:t>
            </w:r>
            <w:r w:rsidR="004F7FA6">
              <w:rPr>
                <w:rFonts w:ascii="Calibri" w:hAnsi="Calibri" w:cs="Calibri"/>
              </w:rPr>
              <w:t>Territorial Authorities</w:t>
            </w:r>
            <w:r w:rsidR="00531881">
              <w:rPr>
                <w:rFonts w:ascii="Calibri" w:hAnsi="Calibri" w:cs="Calibri"/>
              </w:rPr>
              <w:t xml:space="preserve"> already reported)</w:t>
            </w:r>
            <w:r w:rsidRPr="001D36D7">
              <w:rPr>
                <w:rFonts w:ascii="Calibri" w:hAnsi="Calibri" w:cs="Calibri"/>
              </w:rPr>
              <w:t xml:space="preserve"> – TEO can </w:t>
            </w:r>
            <w:r w:rsidR="00A60930">
              <w:rPr>
                <w:rFonts w:ascii="Calibri" w:hAnsi="Calibri" w:cs="Calibri"/>
              </w:rPr>
              <w:t>update</w:t>
            </w:r>
            <w:r w:rsidR="00A60930" w:rsidRPr="001D36D7">
              <w:rPr>
                <w:rFonts w:ascii="Calibri" w:hAnsi="Calibri" w:cs="Calibri"/>
              </w:rPr>
              <w:t xml:space="preserve"> </w:t>
            </w:r>
            <w:r w:rsidRPr="001D36D7">
              <w:rPr>
                <w:rFonts w:ascii="Calibri" w:hAnsi="Calibri" w:cs="Calibri"/>
              </w:rPr>
              <w:t>subsequently if needed</w:t>
            </w:r>
          </w:p>
        </w:tc>
        <w:tc>
          <w:tcPr>
            <w:tcW w:w="2693" w:type="dxa"/>
          </w:tcPr>
          <w:p w14:paraId="0826F452" w14:textId="3ACE9A73" w:rsidR="001D36D7" w:rsidRPr="001D36D7" w:rsidRDefault="001D36D7" w:rsidP="003D5BAB">
            <w:pPr>
              <w:rPr>
                <w:rFonts w:ascii="Calibri" w:hAnsi="Calibri" w:cs="Calibri"/>
              </w:rPr>
            </w:pPr>
            <w:r w:rsidRPr="001D36D7">
              <w:rPr>
                <w:rFonts w:ascii="Calibri" w:hAnsi="Calibri" w:cs="Calibri"/>
              </w:rPr>
              <w:t xml:space="preserve">Yes </w:t>
            </w:r>
          </w:p>
        </w:tc>
      </w:tr>
      <w:tr w:rsidR="00E83786" w:rsidRPr="000D0EC5" w14:paraId="1F9F8792" w14:textId="77777777" w:rsidTr="009D26EC">
        <w:trPr>
          <w:trHeight w:val="42"/>
        </w:trPr>
        <w:tc>
          <w:tcPr>
            <w:tcW w:w="2405" w:type="dxa"/>
          </w:tcPr>
          <w:p w14:paraId="3D50C7EE" w14:textId="4AC2ECE1" w:rsidR="001D36D7" w:rsidRPr="001D36D7" w:rsidRDefault="001D36D7" w:rsidP="003D5BAB">
            <w:pPr>
              <w:rPr>
                <w:rFonts w:ascii="Calibri" w:hAnsi="Calibri" w:cs="Calibri"/>
              </w:rPr>
            </w:pPr>
            <w:r w:rsidRPr="001D36D7">
              <w:rPr>
                <w:rFonts w:ascii="Calibri" w:hAnsi="Calibri" w:cs="Calibri"/>
              </w:rPr>
              <w:t>Occupation Code</w:t>
            </w:r>
          </w:p>
        </w:tc>
        <w:tc>
          <w:tcPr>
            <w:tcW w:w="5387" w:type="dxa"/>
          </w:tcPr>
          <w:p w14:paraId="4EDE1CBF" w14:textId="50E75DF9" w:rsidR="001D36D7" w:rsidRPr="001D36D7" w:rsidRDefault="001D36D7" w:rsidP="003D5BAB">
            <w:pPr>
              <w:rPr>
                <w:rFonts w:ascii="Calibri" w:hAnsi="Calibri" w:cs="Calibri"/>
              </w:rPr>
            </w:pPr>
            <w:r w:rsidRPr="001D36D7">
              <w:rPr>
                <w:rFonts w:ascii="Calibri" w:hAnsi="Calibri" w:cs="Calibri"/>
              </w:rPr>
              <w:t>To enable a better understanding of how training relates to occupations.</w:t>
            </w:r>
          </w:p>
        </w:tc>
        <w:tc>
          <w:tcPr>
            <w:tcW w:w="3969" w:type="dxa"/>
          </w:tcPr>
          <w:p w14:paraId="5EC65273" w14:textId="4951D716" w:rsidR="001D36D7" w:rsidRPr="001D36D7" w:rsidRDefault="001D36D7" w:rsidP="003D5BAB">
            <w:pPr>
              <w:rPr>
                <w:rFonts w:ascii="Calibri" w:hAnsi="Calibri" w:cs="Calibri"/>
              </w:rPr>
            </w:pPr>
            <w:r>
              <w:rPr>
                <w:rFonts w:ascii="Calibri" w:hAnsi="Calibri" w:cs="Calibri"/>
              </w:rPr>
              <w:t>Yes</w:t>
            </w:r>
            <w:r w:rsidRPr="001D36D7">
              <w:rPr>
                <w:rFonts w:ascii="Calibri" w:hAnsi="Calibri" w:cs="Calibri"/>
              </w:rPr>
              <w:t xml:space="preserve">, </w:t>
            </w:r>
            <w:r w:rsidR="00961AF2">
              <w:rPr>
                <w:rFonts w:ascii="Calibri" w:hAnsi="Calibri" w:cs="Calibri"/>
              </w:rPr>
              <w:t xml:space="preserve">populating with </w:t>
            </w:r>
            <w:r w:rsidR="00423984">
              <w:rPr>
                <w:rFonts w:ascii="Calibri" w:hAnsi="Calibri" w:cs="Calibri"/>
              </w:rPr>
              <w:t xml:space="preserve">occupation codes </w:t>
            </w:r>
            <w:r w:rsidRPr="001D36D7">
              <w:rPr>
                <w:rFonts w:ascii="Calibri" w:hAnsi="Calibri" w:cs="Calibri"/>
              </w:rPr>
              <w:t xml:space="preserve">if agreed with TEO, TEO can </w:t>
            </w:r>
            <w:r w:rsidR="00A60930">
              <w:rPr>
                <w:rFonts w:ascii="Calibri" w:hAnsi="Calibri" w:cs="Calibri"/>
              </w:rPr>
              <w:t>update</w:t>
            </w:r>
            <w:r w:rsidRPr="001D36D7">
              <w:rPr>
                <w:rFonts w:ascii="Calibri" w:hAnsi="Calibri" w:cs="Calibri"/>
              </w:rPr>
              <w:t xml:space="preserve"> subsequently if needed</w:t>
            </w:r>
          </w:p>
        </w:tc>
        <w:tc>
          <w:tcPr>
            <w:tcW w:w="2693" w:type="dxa"/>
          </w:tcPr>
          <w:p w14:paraId="5F12D49E" w14:textId="36A71917" w:rsidR="001D36D7" w:rsidRPr="001D36D7" w:rsidRDefault="001D36D7" w:rsidP="003D5BAB">
            <w:pPr>
              <w:rPr>
                <w:rFonts w:ascii="Calibri" w:hAnsi="Calibri" w:cs="Calibri"/>
              </w:rPr>
            </w:pPr>
            <w:r w:rsidRPr="001D36D7">
              <w:rPr>
                <w:rFonts w:ascii="Calibri" w:hAnsi="Calibri" w:cs="Calibri"/>
              </w:rPr>
              <w:t>Yes</w:t>
            </w:r>
          </w:p>
        </w:tc>
      </w:tr>
    </w:tbl>
    <w:p w14:paraId="1FD3E319" w14:textId="77777777" w:rsidR="00076FA6" w:rsidRDefault="00076FA6" w:rsidP="00786FDA">
      <w:pPr>
        <w:rPr>
          <w:rFonts w:ascii="Calibri" w:hAnsi="Calibri" w:cs="Calibri"/>
        </w:rPr>
      </w:pPr>
    </w:p>
    <w:p w14:paraId="7641F0F5" w14:textId="2886941A" w:rsidR="00D73DC9" w:rsidRPr="00B113BF" w:rsidRDefault="00D73DC9" w:rsidP="00D73DC9">
      <w:pPr>
        <w:rPr>
          <w:rFonts w:cs="Calibri"/>
          <w:b/>
        </w:rPr>
      </w:pPr>
      <w:r w:rsidRPr="00B113BF">
        <w:rPr>
          <w:rFonts w:cs="Calibri"/>
          <w:b/>
        </w:rPr>
        <w:t xml:space="preserve">Employment Territorial Authority Code </w:t>
      </w:r>
    </w:p>
    <w:p w14:paraId="3DC3BC2B" w14:textId="77777777" w:rsidR="00E96078" w:rsidRPr="00B113BF" w:rsidRDefault="00D73DC9" w:rsidP="00E96078">
      <w:pPr>
        <w:pStyle w:val="TableText"/>
        <w:rPr>
          <w:rFonts w:cs="Calibri"/>
          <w:sz w:val="22"/>
          <w:szCs w:val="22"/>
        </w:rPr>
      </w:pPr>
      <w:r w:rsidRPr="00B113BF">
        <w:rPr>
          <w:rFonts w:cs="Calibri"/>
          <w:sz w:val="22"/>
          <w:szCs w:val="22"/>
        </w:rPr>
        <w:t xml:space="preserve">As noted in the data specification, we have adopted the latest </w:t>
      </w:r>
      <w:r w:rsidR="00E96078" w:rsidRPr="00B113BF">
        <w:rPr>
          <w:rFonts w:cs="Calibri"/>
          <w:sz w:val="22"/>
          <w:szCs w:val="22"/>
        </w:rPr>
        <w:t xml:space="preserve">Statistics New Zealand Territorial Authority (Generalised) 2023 classification. </w:t>
      </w:r>
    </w:p>
    <w:p w14:paraId="694BB93D" w14:textId="58D6A6A4" w:rsidR="00E96078" w:rsidRPr="00B113BF" w:rsidRDefault="00E96078" w:rsidP="007D1F4E">
      <w:pPr>
        <w:pStyle w:val="TableText"/>
        <w:numPr>
          <w:ilvl w:val="0"/>
          <w:numId w:val="33"/>
        </w:numPr>
        <w:rPr>
          <w:rFonts w:cs="Calibri"/>
          <w:sz w:val="22"/>
          <w:szCs w:val="22"/>
        </w:rPr>
      </w:pPr>
      <w:r w:rsidRPr="00B113BF">
        <w:rPr>
          <w:rFonts w:cs="Calibri"/>
          <w:sz w:val="22"/>
          <w:szCs w:val="22"/>
        </w:rPr>
        <w:t>There is only a single TA Code for Auckland. There is no further breakdown of geography within the Auckland Territorial Authority area.</w:t>
      </w:r>
    </w:p>
    <w:p w14:paraId="1C13601B" w14:textId="6DF48BEA" w:rsidR="00E96078" w:rsidRPr="00B113BF" w:rsidRDefault="00E96078" w:rsidP="00E96078">
      <w:pPr>
        <w:pStyle w:val="TableText"/>
        <w:rPr>
          <w:rFonts w:cs="Calibri"/>
          <w:sz w:val="22"/>
          <w:szCs w:val="22"/>
        </w:rPr>
      </w:pPr>
      <w:r w:rsidRPr="00B113BF">
        <w:rPr>
          <w:rFonts w:cs="Calibri"/>
          <w:sz w:val="22"/>
          <w:szCs w:val="22"/>
        </w:rPr>
        <w:t>The existing data will be migrated with the “old” Auckland Territorial Authority, but new data (from go live) must comply with the new classification.</w:t>
      </w:r>
    </w:p>
    <w:p w14:paraId="1E44BE41" w14:textId="17EA4539" w:rsidR="00E96078" w:rsidRPr="00B113BF" w:rsidRDefault="00E96078" w:rsidP="007D1F4E">
      <w:pPr>
        <w:pStyle w:val="TableText"/>
        <w:numPr>
          <w:ilvl w:val="0"/>
          <w:numId w:val="33"/>
        </w:numPr>
        <w:rPr>
          <w:rFonts w:cs="Calibri"/>
          <w:sz w:val="22"/>
          <w:szCs w:val="22"/>
        </w:rPr>
      </w:pPr>
      <w:r w:rsidRPr="00B113BF">
        <w:rPr>
          <w:rFonts w:cs="Calibri"/>
          <w:sz w:val="22"/>
          <w:szCs w:val="22"/>
        </w:rPr>
        <w:t>You may need to update the TA Code for Auckland in your TMS.</w:t>
      </w:r>
    </w:p>
    <w:p w14:paraId="75ED4671" w14:textId="2E5AA009" w:rsidR="00D73DC9" w:rsidRPr="00B113BF" w:rsidRDefault="00D73DC9" w:rsidP="00D73DC9">
      <w:pPr>
        <w:rPr>
          <w:rFonts w:cs="Calibri"/>
        </w:rPr>
      </w:pPr>
      <w:r w:rsidRPr="00B113BF">
        <w:rPr>
          <w:rFonts w:cs="Calibri"/>
        </w:rPr>
        <w:t xml:space="preserve"> </w:t>
      </w:r>
    </w:p>
    <w:p w14:paraId="3F714B5A" w14:textId="77777777" w:rsidR="001B3183" w:rsidRPr="00B113BF" w:rsidRDefault="001B3183" w:rsidP="00786FDA">
      <w:pPr>
        <w:rPr>
          <w:rFonts w:cs="Calibri"/>
          <w:b/>
        </w:rPr>
      </w:pPr>
      <w:r w:rsidRPr="00B113BF">
        <w:rPr>
          <w:rFonts w:cs="Calibri"/>
          <w:b/>
        </w:rPr>
        <w:t xml:space="preserve">Employment Region Code </w:t>
      </w:r>
    </w:p>
    <w:p w14:paraId="0ADA92BC" w14:textId="77777777" w:rsidR="00E502BE" w:rsidRPr="00B113BF" w:rsidRDefault="00E70E0A" w:rsidP="00786FDA">
      <w:pPr>
        <w:rPr>
          <w:rFonts w:cs="Calibri"/>
        </w:rPr>
      </w:pPr>
      <w:r w:rsidRPr="00B113BF">
        <w:rPr>
          <w:rFonts w:cs="Calibri"/>
        </w:rPr>
        <w:t xml:space="preserve">Please note </w:t>
      </w:r>
      <w:r w:rsidR="00E96078" w:rsidRPr="00B113BF">
        <w:rPr>
          <w:rFonts w:cs="Calibri"/>
        </w:rPr>
        <w:t xml:space="preserve">we are anticipating some data changes </w:t>
      </w:r>
      <w:r w:rsidRPr="00B113BF">
        <w:rPr>
          <w:rFonts w:cs="Calibri"/>
        </w:rPr>
        <w:t>due to Employment Region being submitted by you (rather than assigned by TEC). The relevant teams within TEC know to expect these changes.</w:t>
      </w:r>
    </w:p>
    <w:p w14:paraId="30A775D5" w14:textId="26059ED3" w:rsidR="00E70E0A" w:rsidRPr="00B113BF" w:rsidRDefault="00E70E0A" w:rsidP="007D1F4E">
      <w:pPr>
        <w:pStyle w:val="ListParagraph"/>
        <w:numPr>
          <w:ilvl w:val="0"/>
          <w:numId w:val="33"/>
        </w:numPr>
        <w:rPr>
          <w:rFonts w:cs="Calibri"/>
        </w:rPr>
      </w:pPr>
      <w:r w:rsidRPr="00B113BF">
        <w:rPr>
          <w:rFonts w:cs="Calibri"/>
          <w:b/>
        </w:rPr>
        <w:t>Territorial Authorities (TA) that are within more than one Region</w:t>
      </w:r>
      <w:r w:rsidRPr="00B113BF">
        <w:rPr>
          <w:rFonts w:cs="Calibri"/>
        </w:rPr>
        <w:t xml:space="preserve">: As the “true” Region could not be identified, TEC previously attributed these TAs to just one of the possible Regions. As data is submitted / updated through the </w:t>
      </w:r>
      <w:r w:rsidR="009447E0" w:rsidRPr="00B113BF">
        <w:rPr>
          <w:rFonts w:cs="Calibri"/>
        </w:rPr>
        <w:t xml:space="preserve">DXP </w:t>
      </w:r>
      <w:r w:rsidRPr="00B113BF">
        <w:rPr>
          <w:rFonts w:cs="Calibri"/>
        </w:rPr>
        <w:t>APIs, we anticipate “region shift” due to capturing the correct Region.</w:t>
      </w:r>
    </w:p>
    <w:p w14:paraId="432A9DF0" w14:textId="45608403" w:rsidR="00E02E47" w:rsidRPr="00B113BF" w:rsidRDefault="00E70E0A" w:rsidP="007D1F4E">
      <w:pPr>
        <w:pStyle w:val="ListParagraph"/>
        <w:numPr>
          <w:ilvl w:val="0"/>
          <w:numId w:val="33"/>
        </w:numPr>
        <w:rPr>
          <w:rFonts w:cs="Calibri"/>
        </w:rPr>
      </w:pPr>
      <w:r w:rsidRPr="00B113BF">
        <w:rPr>
          <w:rFonts w:cs="Calibri"/>
          <w:b/>
        </w:rPr>
        <w:t>Wairoa District:</w:t>
      </w:r>
      <w:r w:rsidRPr="00B113BF">
        <w:rPr>
          <w:rFonts w:cs="Calibri"/>
        </w:rPr>
        <w:t xml:space="preserve"> This TA was erroneously mapped to Bay of Plenty Region. It is, of course, Hawke’s Bay Region. We are amending this </w:t>
      </w:r>
      <w:r w:rsidR="001126B9" w:rsidRPr="00B113BF">
        <w:rPr>
          <w:rFonts w:cs="Calibri"/>
        </w:rPr>
        <w:t>in</w:t>
      </w:r>
      <w:r w:rsidRPr="00B113BF">
        <w:rPr>
          <w:rFonts w:cs="Calibri"/>
        </w:rPr>
        <w:t xml:space="preserve"> all migrated data. </w:t>
      </w:r>
    </w:p>
    <w:p w14:paraId="41C29A1A" w14:textId="5B0C3049" w:rsidR="00874F68" w:rsidRDefault="00076FA6" w:rsidP="00874F68">
      <w:pPr>
        <w:rPr>
          <w:b/>
          <w:color w:val="215E99" w:themeColor="text2" w:themeTint="BF"/>
          <w:sz w:val="24"/>
          <w:szCs w:val="24"/>
        </w:rPr>
      </w:pPr>
      <w:r>
        <w:rPr>
          <w:b/>
          <w:color w:val="215E99" w:themeColor="text2" w:themeTint="BF"/>
          <w:sz w:val="24"/>
          <w:szCs w:val="24"/>
        </w:rPr>
        <w:t xml:space="preserve">New </w:t>
      </w:r>
      <w:r w:rsidR="00874F68" w:rsidRPr="00590E2E">
        <w:rPr>
          <w:b/>
          <w:color w:val="215E99" w:themeColor="text2" w:themeTint="BF"/>
          <w:sz w:val="24"/>
          <w:szCs w:val="24"/>
        </w:rPr>
        <w:t>Enrolment</w:t>
      </w:r>
      <w:r>
        <w:rPr>
          <w:b/>
          <w:color w:val="215E99" w:themeColor="text2" w:themeTint="BF"/>
          <w:sz w:val="24"/>
          <w:szCs w:val="24"/>
        </w:rPr>
        <w:t xml:space="preserve"> fields</w:t>
      </w:r>
    </w:p>
    <w:p w14:paraId="072F0D40" w14:textId="43DA5AB0" w:rsidR="007A25A5" w:rsidRPr="00D52037" w:rsidRDefault="00B418DB" w:rsidP="00D52037">
      <w:pPr>
        <w:pStyle w:val="ListParagraph"/>
        <w:numPr>
          <w:ilvl w:val="1"/>
          <w:numId w:val="30"/>
        </w:numPr>
        <w:rPr>
          <w:rFonts w:cs="Calibri"/>
        </w:rPr>
      </w:pPr>
      <w:r w:rsidRPr="00D52037">
        <w:rPr>
          <w:rFonts w:cs="Calibri"/>
        </w:rPr>
        <w:t>F</w:t>
      </w:r>
      <w:r w:rsidR="00A3650B" w:rsidRPr="00D52037">
        <w:rPr>
          <w:rFonts w:cs="Calibri"/>
        </w:rPr>
        <w:t>rom 1 July 2025 all</w:t>
      </w:r>
      <w:r w:rsidR="007A25A5" w:rsidRPr="00D52037">
        <w:rPr>
          <w:rFonts w:cs="Calibri"/>
        </w:rPr>
        <w:t xml:space="preserve"> fields are mandatory for new enrolments, </w:t>
      </w:r>
      <w:r w:rsidR="00703CA2" w:rsidRPr="00D52037">
        <w:rPr>
          <w:rFonts w:cs="Calibri"/>
        </w:rPr>
        <w:t xml:space="preserve">however </w:t>
      </w:r>
      <w:r w:rsidR="00A22D44" w:rsidRPr="00D52037">
        <w:rPr>
          <w:rFonts w:cs="Calibri"/>
        </w:rPr>
        <w:t xml:space="preserve">some </w:t>
      </w:r>
      <w:r w:rsidR="00703CA2" w:rsidRPr="00D52037">
        <w:rPr>
          <w:rFonts w:cs="Calibri"/>
        </w:rPr>
        <w:t xml:space="preserve">are </w:t>
      </w:r>
      <w:r w:rsidR="00A22D44" w:rsidRPr="00D52037">
        <w:rPr>
          <w:rFonts w:cs="Calibri"/>
        </w:rPr>
        <w:t xml:space="preserve">only </w:t>
      </w:r>
      <w:r w:rsidR="00055791" w:rsidRPr="00D52037">
        <w:rPr>
          <w:rFonts w:cs="Calibri"/>
        </w:rPr>
        <w:t xml:space="preserve">mandatory </w:t>
      </w:r>
      <w:r w:rsidR="00A22D44" w:rsidRPr="00D52037">
        <w:rPr>
          <w:rFonts w:cs="Calibri"/>
        </w:rPr>
        <w:t>in certain circumstances</w:t>
      </w:r>
      <w:r w:rsidR="007A25A5" w:rsidRPr="00D52037">
        <w:rPr>
          <w:rFonts w:cs="Calibri"/>
        </w:rPr>
        <w:t xml:space="preserve"> – see below</w:t>
      </w:r>
    </w:p>
    <w:p w14:paraId="331C108A" w14:textId="1FBA1F71" w:rsidR="007A25A5" w:rsidRPr="00D52037" w:rsidRDefault="007A25A5" w:rsidP="00D52037">
      <w:pPr>
        <w:pStyle w:val="ListParagraph"/>
        <w:numPr>
          <w:ilvl w:val="1"/>
          <w:numId w:val="30"/>
        </w:numPr>
        <w:rPr>
          <w:rFonts w:cs="Calibri"/>
        </w:rPr>
      </w:pPr>
      <w:r w:rsidRPr="00D52037">
        <w:rPr>
          <w:rFonts w:cs="Calibri"/>
        </w:rPr>
        <w:t xml:space="preserve">TEC will </w:t>
      </w:r>
      <w:r w:rsidR="00435878" w:rsidRPr="00D52037">
        <w:rPr>
          <w:rFonts w:cs="Calibri"/>
        </w:rPr>
        <w:t>backfill</w:t>
      </w:r>
      <w:r w:rsidRPr="00D52037">
        <w:rPr>
          <w:rFonts w:cs="Calibri"/>
        </w:rPr>
        <w:t xml:space="preserve"> data into some fields as part of data migration - see below</w:t>
      </w:r>
      <w:r w:rsidR="00A3650B" w:rsidRPr="00D52037">
        <w:rPr>
          <w:rFonts w:cs="Calibri"/>
        </w:rPr>
        <w:t xml:space="preserve">. Where data is not </w:t>
      </w:r>
      <w:r w:rsidR="00703CA2" w:rsidRPr="00D52037">
        <w:rPr>
          <w:rFonts w:cs="Calibri"/>
        </w:rPr>
        <w:t>pop</w:t>
      </w:r>
      <w:r w:rsidR="00B31D1C" w:rsidRPr="00D52037">
        <w:rPr>
          <w:rFonts w:cs="Calibri"/>
        </w:rPr>
        <w:t>ulated by TEC</w:t>
      </w:r>
      <w:r w:rsidR="002A4327" w:rsidRPr="00D52037">
        <w:rPr>
          <w:rFonts w:cs="Calibri"/>
        </w:rPr>
        <w:t xml:space="preserve"> DXP will accept blank fields.</w:t>
      </w:r>
    </w:p>
    <w:tbl>
      <w:tblPr>
        <w:tblStyle w:val="TableGrid"/>
        <w:tblW w:w="14454" w:type="dxa"/>
        <w:tblLook w:val="04A0" w:firstRow="1" w:lastRow="0" w:firstColumn="1" w:lastColumn="0" w:noHBand="0" w:noVBand="1"/>
      </w:tblPr>
      <w:tblGrid>
        <w:gridCol w:w="2405"/>
        <w:gridCol w:w="3402"/>
        <w:gridCol w:w="2977"/>
        <w:gridCol w:w="2835"/>
        <w:gridCol w:w="2835"/>
      </w:tblGrid>
      <w:tr w:rsidR="001126B9" w:rsidRPr="000D0EC5" w14:paraId="71E61A7B" w14:textId="77777777" w:rsidTr="00282C52">
        <w:trPr>
          <w:trHeight w:val="300"/>
          <w:tblHeader/>
        </w:trPr>
        <w:tc>
          <w:tcPr>
            <w:tcW w:w="2405" w:type="dxa"/>
            <w:shd w:val="clear" w:color="auto" w:fill="CAEDFB" w:themeFill="accent4" w:themeFillTint="33"/>
          </w:tcPr>
          <w:p w14:paraId="5B108F08" w14:textId="77777777" w:rsidR="001126B9" w:rsidRPr="001D36D7" w:rsidRDefault="001126B9" w:rsidP="00435683">
            <w:pPr>
              <w:rPr>
                <w:rFonts w:ascii="Calibri" w:hAnsi="Calibri" w:cs="Calibri"/>
                <w:b/>
              </w:rPr>
            </w:pPr>
            <w:r w:rsidRPr="001D36D7">
              <w:rPr>
                <w:rFonts w:ascii="Calibri" w:hAnsi="Calibri" w:cs="Calibri"/>
                <w:b/>
              </w:rPr>
              <w:t>New data requirements:</w:t>
            </w:r>
          </w:p>
        </w:tc>
        <w:tc>
          <w:tcPr>
            <w:tcW w:w="3402" w:type="dxa"/>
            <w:shd w:val="clear" w:color="auto" w:fill="CAEDFB" w:themeFill="accent4" w:themeFillTint="33"/>
          </w:tcPr>
          <w:p w14:paraId="0446BAA4" w14:textId="535A00FA" w:rsidR="001126B9" w:rsidRPr="001D36D7" w:rsidRDefault="001126B9" w:rsidP="00435683">
            <w:pPr>
              <w:rPr>
                <w:rFonts w:ascii="Calibri" w:hAnsi="Calibri" w:cs="Calibri"/>
                <w:b/>
              </w:rPr>
            </w:pPr>
            <w:r w:rsidRPr="001D36D7">
              <w:rPr>
                <w:rFonts w:ascii="Calibri" w:hAnsi="Calibri" w:cs="Calibri"/>
                <w:b/>
              </w:rPr>
              <w:t>Purpose / change</w:t>
            </w:r>
          </w:p>
        </w:tc>
        <w:tc>
          <w:tcPr>
            <w:tcW w:w="2977" w:type="dxa"/>
            <w:shd w:val="clear" w:color="auto" w:fill="CAEDFB" w:themeFill="accent4" w:themeFillTint="33"/>
          </w:tcPr>
          <w:p w14:paraId="6BD0A38C" w14:textId="74FE14B2" w:rsidR="001126B9" w:rsidRPr="001D36D7" w:rsidRDefault="001126B9" w:rsidP="00435683">
            <w:pPr>
              <w:rPr>
                <w:rFonts w:ascii="Calibri" w:hAnsi="Calibri" w:cs="Calibri"/>
                <w:b/>
              </w:rPr>
            </w:pPr>
            <w:r w:rsidRPr="00A040F1">
              <w:rPr>
                <w:rFonts w:ascii="Calibri" w:hAnsi="Calibri" w:cs="Calibri"/>
                <w:b/>
              </w:rPr>
              <w:t>Backfill</w:t>
            </w:r>
            <w:r w:rsidR="009D57DC">
              <w:rPr>
                <w:rFonts w:ascii="Calibri" w:hAnsi="Calibri" w:cs="Calibri"/>
                <w:b/>
              </w:rPr>
              <w:t>ed (by TEC)</w:t>
            </w:r>
            <w:r>
              <w:rPr>
                <w:rFonts w:ascii="Calibri" w:hAnsi="Calibri" w:cs="Calibri"/>
                <w:b/>
              </w:rPr>
              <w:t xml:space="preserve"> for existing enrolments</w:t>
            </w:r>
          </w:p>
        </w:tc>
        <w:tc>
          <w:tcPr>
            <w:tcW w:w="2835" w:type="dxa"/>
            <w:shd w:val="clear" w:color="auto" w:fill="CAEDFB" w:themeFill="accent4" w:themeFillTint="33"/>
          </w:tcPr>
          <w:p w14:paraId="283EF273" w14:textId="5485781D" w:rsidR="001126B9" w:rsidRPr="00A040F1" w:rsidRDefault="001126B9" w:rsidP="00435683">
            <w:pPr>
              <w:rPr>
                <w:rFonts w:ascii="Calibri" w:hAnsi="Calibri" w:cs="Calibri"/>
                <w:b/>
                <w:bCs/>
              </w:rPr>
            </w:pPr>
            <w:r w:rsidRPr="001D36D7">
              <w:rPr>
                <w:rFonts w:ascii="Calibri" w:hAnsi="Calibri" w:cs="Calibri"/>
                <w:b/>
              </w:rPr>
              <w:t>Mandatory</w:t>
            </w:r>
            <w:r>
              <w:rPr>
                <w:rFonts w:ascii="Calibri" w:hAnsi="Calibri" w:cs="Calibri"/>
                <w:b/>
              </w:rPr>
              <w:t xml:space="preserve"> from </w:t>
            </w:r>
            <w:r w:rsidR="00435878">
              <w:rPr>
                <w:rFonts w:ascii="Calibri" w:hAnsi="Calibri" w:cs="Calibri"/>
                <w:b/>
              </w:rPr>
              <w:t>4 August</w:t>
            </w:r>
            <w:r>
              <w:rPr>
                <w:rFonts w:ascii="Calibri" w:hAnsi="Calibri" w:cs="Calibri"/>
                <w:b/>
              </w:rPr>
              <w:t xml:space="preserve"> – updating existing learner enrolments</w:t>
            </w:r>
            <w:r w:rsidRPr="001D36D7">
              <w:rPr>
                <w:rFonts w:ascii="Calibri" w:hAnsi="Calibri" w:cs="Calibri"/>
                <w:b/>
              </w:rPr>
              <w:t>?</w:t>
            </w:r>
          </w:p>
        </w:tc>
        <w:tc>
          <w:tcPr>
            <w:tcW w:w="2835" w:type="dxa"/>
            <w:shd w:val="clear" w:color="auto" w:fill="CAEDFB" w:themeFill="accent4" w:themeFillTint="33"/>
          </w:tcPr>
          <w:p w14:paraId="254C0837" w14:textId="073B57F6" w:rsidR="001126B9" w:rsidRPr="001D36D7" w:rsidRDefault="001126B9" w:rsidP="00435683">
            <w:pPr>
              <w:rPr>
                <w:rFonts w:ascii="Calibri" w:hAnsi="Calibri" w:cs="Calibri"/>
                <w:b/>
              </w:rPr>
            </w:pPr>
            <w:r w:rsidRPr="00A040F1">
              <w:rPr>
                <w:rFonts w:ascii="Calibri" w:hAnsi="Calibri" w:cs="Calibri"/>
                <w:b/>
                <w:bCs/>
              </w:rPr>
              <w:t>Mandatory</w:t>
            </w:r>
            <w:r>
              <w:rPr>
                <w:rFonts w:ascii="Calibri" w:hAnsi="Calibri" w:cs="Calibri"/>
                <w:b/>
                <w:bCs/>
              </w:rPr>
              <w:t xml:space="preserve"> from </w:t>
            </w:r>
            <w:r w:rsidR="00435878">
              <w:rPr>
                <w:rFonts w:ascii="Calibri" w:hAnsi="Calibri" w:cs="Calibri"/>
                <w:b/>
                <w:bCs/>
              </w:rPr>
              <w:t>4 August</w:t>
            </w:r>
            <w:r>
              <w:rPr>
                <w:rFonts w:ascii="Calibri" w:hAnsi="Calibri" w:cs="Calibri"/>
                <w:b/>
                <w:bCs/>
              </w:rPr>
              <w:t xml:space="preserve"> </w:t>
            </w:r>
            <w:r>
              <w:rPr>
                <w:rFonts w:ascii="Calibri" w:hAnsi="Calibri" w:cs="Calibri"/>
                <w:b/>
              </w:rPr>
              <w:t>– new learner enrolments</w:t>
            </w:r>
            <w:r>
              <w:rPr>
                <w:rFonts w:ascii="Calibri" w:hAnsi="Calibri" w:cs="Calibri"/>
                <w:b/>
                <w:bCs/>
              </w:rPr>
              <w:t>?</w:t>
            </w:r>
          </w:p>
        </w:tc>
      </w:tr>
      <w:tr w:rsidR="001126B9" w:rsidRPr="000D0EC5" w14:paraId="0DD7E0E0" w14:textId="77777777" w:rsidTr="001126B9">
        <w:trPr>
          <w:trHeight w:val="300"/>
        </w:trPr>
        <w:tc>
          <w:tcPr>
            <w:tcW w:w="2405" w:type="dxa"/>
          </w:tcPr>
          <w:p w14:paraId="06116C54" w14:textId="42A81AB7" w:rsidR="001126B9" w:rsidRPr="001D36D7" w:rsidRDefault="001126B9" w:rsidP="003D5BAB">
            <w:pPr>
              <w:rPr>
                <w:rFonts w:ascii="Calibri" w:hAnsi="Calibri" w:cs="Calibri"/>
              </w:rPr>
            </w:pPr>
            <w:r w:rsidRPr="001D36D7">
              <w:rPr>
                <w:rFonts w:ascii="Calibri" w:hAnsi="Calibri" w:cs="Calibri"/>
              </w:rPr>
              <w:t>Residential Status and Australian Residential Status</w:t>
            </w:r>
          </w:p>
        </w:tc>
        <w:tc>
          <w:tcPr>
            <w:tcW w:w="3402" w:type="dxa"/>
          </w:tcPr>
          <w:p w14:paraId="43928CA7" w14:textId="77777777" w:rsidR="001126B9" w:rsidRPr="001D36D7" w:rsidRDefault="001126B9" w:rsidP="003D5BAB">
            <w:pPr>
              <w:rPr>
                <w:rFonts w:ascii="Calibri" w:hAnsi="Calibri" w:cs="Calibri"/>
              </w:rPr>
            </w:pPr>
            <w:r w:rsidRPr="001D36D7">
              <w:rPr>
                <w:rFonts w:ascii="Calibri" w:hAnsi="Calibri" w:cs="Calibri"/>
              </w:rPr>
              <w:t>To identify New Zealand and Australian residents.</w:t>
            </w:r>
          </w:p>
          <w:p w14:paraId="47E277AE" w14:textId="77777777" w:rsidR="001126B9" w:rsidRPr="001D36D7" w:rsidRDefault="001126B9" w:rsidP="003D5BAB">
            <w:pPr>
              <w:rPr>
                <w:rFonts w:ascii="Calibri" w:hAnsi="Calibri" w:cs="Calibri"/>
              </w:rPr>
            </w:pPr>
          </w:p>
          <w:p w14:paraId="7ED329B8" w14:textId="4A269C7B" w:rsidR="001126B9" w:rsidRPr="001D36D7" w:rsidRDefault="001126B9" w:rsidP="003D5BAB">
            <w:pPr>
              <w:rPr>
                <w:rFonts w:ascii="Calibri" w:hAnsi="Calibri" w:cs="Calibri"/>
              </w:rPr>
            </w:pPr>
          </w:p>
        </w:tc>
        <w:tc>
          <w:tcPr>
            <w:tcW w:w="2977" w:type="dxa"/>
          </w:tcPr>
          <w:p w14:paraId="35DFE9F9" w14:textId="21C2E4CB" w:rsidR="001126B9" w:rsidRPr="001D36D7" w:rsidRDefault="001126B9" w:rsidP="003D5BAB">
            <w:pPr>
              <w:rPr>
                <w:rFonts w:ascii="Calibri" w:hAnsi="Calibri" w:cs="Calibri"/>
              </w:rPr>
            </w:pPr>
            <w:r w:rsidRPr="001D36D7">
              <w:rPr>
                <w:rFonts w:ascii="Calibri" w:hAnsi="Calibri" w:cs="Calibri"/>
              </w:rPr>
              <w:t>No</w:t>
            </w:r>
          </w:p>
        </w:tc>
        <w:tc>
          <w:tcPr>
            <w:tcW w:w="2835" w:type="dxa"/>
          </w:tcPr>
          <w:p w14:paraId="154C06FA" w14:textId="11ADA554" w:rsidR="001126B9" w:rsidRPr="001D36D7" w:rsidRDefault="001126B9" w:rsidP="003D5BAB">
            <w:pPr>
              <w:rPr>
                <w:rFonts w:ascii="Calibri" w:hAnsi="Calibri" w:cs="Calibri"/>
              </w:rPr>
            </w:pPr>
            <w:r>
              <w:rPr>
                <w:rFonts w:ascii="Calibri" w:hAnsi="Calibri" w:cs="Calibri"/>
              </w:rPr>
              <w:t>No</w:t>
            </w:r>
          </w:p>
        </w:tc>
        <w:tc>
          <w:tcPr>
            <w:tcW w:w="2835" w:type="dxa"/>
          </w:tcPr>
          <w:p w14:paraId="65758FE1" w14:textId="33A3109B" w:rsidR="001126B9" w:rsidRPr="001D36D7" w:rsidRDefault="001126B9" w:rsidP="003D5BAB">
            <w:pPr>
              <w:rPr>
                <w:rFonts w:ascii="Calibri" w:hAnsi="Calibri" w:cs="Calibri"/>
              </w:rPr>
            </w:pPr>
            <w:r w:rsidRPr="001D36D7">
              <w:rPr>
                <w:rFonts w:ascii="Calibri" w:hAnsi="Calibri" w:cs="Calibri"/>
              </w:rPr>
              <w:t xml:space="preserve">Yes </w:t>
            </w:r>
          </w:p>
        </w:tc>
      </w:tr>
      <w:tr w:rsidR="001126B9" w:rsidRPr="000D0EC5" w14:paraId="04C175C2" w14:textId="77777777" w:rsidTr="001126B9">
        <w:trPr>
          <w:trHeight w:val="300"/>
        </w:trPr>
        <w:tc>
          <w:tcPr>
            <w:tcW w:w="2405" w:type="dxa"/>
          </w:tcPr>
          <w:p w14:paraId="2F836DA1" w14:textId="47A52F49" w:rsidR="001126B9" w:rsidRPr="001D36D7" w:rsidRDefault="001126B9" w:rsidP="003D5BAB">
            <w:pPr>
              <w:rPr>
                <w:rFonts w:ascii="Calibri" w:hAnsi="Calibri" w:cs="Calibri"/>
              </w:rPr>
            </w:pPr>
            <w:r w:rsidRPr="001D36D7">
              <w:rPr>
                <w:rFonts w:ascii="Calibri" w:hAnsi="Calibri" w:cs="Calibri"/>
              </w:rPr>
              <w:t>Funding Source Code</w:t>
            </w:r>
          </w:p>
        </w:tc>
        <w:tc>
          <w:tcPr>
            <w:tcW w:w="3402" w:type="dxa"/>
          </w:tcPr>
          <w:p w14:paraId="0D4F85E3" w14:textId="492EF5B3" w:rsidR="001126B9" w:rsidRPr="001D36D7" w:rsidRDefault="001126B9" w:rsidP="003D5BAB">
            <w:pPr>
              <w:rPr>
                <w:rFonts w:ascii="Calibri" w:hAnsi="Calibri" w:cs="Calibri"/>
              </w:rPr>
            </w:pPr>
            <w:r w:rsidRPr="001D36D7">
              <w:rPr>
                <w:rFonts w:ascii="Calibri" w:hAnsi="Calibri" w:cs="Calibri"/>
              </w:rPr>
              <w:t>To identify the source of funding that supports the learner's enrolment in the programme.</w:t>
            </w:r>
          </w:p>
        </w:tc>
        <w:tc>
          <w:tcPr>
            <w:tcW w:w="2977" w:type="dxa"/>
          </w:tcPr>
          <w:p w14:paraId="520AE268" w14:textId="0488CE60" w:rsidR="001126B9" w:rsidRPr="001D36D7" w:rsidRDefault="001126B9" w:rsidP="003D5BAB">
            <w:pPr>
              <w:rPr>
                <w:rFonts w:ascii="Calibri" w:hAnsi="Calibri" w:cs="Calibri"/>
              </w:rPr>
            </w:pPr>
            <w:r>
              <w:rPr>
                <w:rFonts w:ascii="Calibri" w:hAnsi="Calibri" w:cs="Calibri"/>
              </w:rPr>
              <w:t>Yes, c</w:t>
            </w:r>
            <w:r w:rsidRPr="001D36D7">
              <w:rPr>
                <w:rFonts w:ascii="Calibri" w:hAnsi="Calibri" w:cs="Calibri"/>
              </w:rPr>
              <w:t>urrent value applied as part of migration</w:t>
            </w:r>
          </w:p>
        </w:tc>
        <w:tc>
          <w:tcPr>
            <w:tcW w:w="2835" w:type="dxa"/>
          </w:tcPr>
          <w:p w14:paraId="334674B3" w14:textId="5B4DBA7F" w:rsidR="001126B9" w:rsidRPr="001D36D7" w:rsidRDefault="001126B9" w:rsidP="003D5BAB">
            <w:pPr>
              <w:rPr>
                <w:rFonts w:ascii="Calibri" w:hAnsi="Calibri" w:cs="Calibri"/>
              </w:rPr>
            </w:pPr>
            <w:r>
              <w:rPr>
                <w:rFonts w:ascii="Calibri" w:hAnsi="Calibri" w:cs="Calibri"/>
              </w:rPr>
              <w:t>n/a</w:t>
            </w:r>
          </w:p>
        </w:tc>
        <w:tc>
          <w:tcPr>
            <w:tcW w:w="2835" w:type="dxa"/>
          </w:tcPr>
          <w:p w14:paraId="25BCBF72" w14:textId="6DC356F4" w:rsidR="001126B9" w:rsidRPr="001D36D7" w:rsidRDefault="001126B9" w:rsidP="003D5BAB">
            <w:pPr>
              <w:rPr>
                <w:rFonts w:ascii="Calibri" w:hAnsi="Calibri" w:cs="Calibri"/>
              </w:rPr>
            </w:pPr>
            <w:r w:rsidRPr="001D36D7">
              <w:rPr>
                <w:rFonts w:ascii="Calibri" w:hAnsi="Calibri" w:cs="Calibri"/>
              </w:rPr>
              <w:t>Yes</w:t>
            </w:r>
          </w:p>
          <w:p w14:paraId="60117D72" w14:textId="4245CD7A" w:rsidR="001126B9" w:rsidRPr="001D36D7" w:rsidRDefault="001126B9" w:rsidP="003D5BAB">
            <w:pPr>
              <w:rPr>
                <w:rFonts w:ascii="Calibri" w:hAnsi="Calibri" w:cs="Calibri"/>
              </w:rPr>
            </w:pPr>
          </w:p>
        </w:tc>
      </w:tr>
      <w:tr w:rsidR="001126B9" w:rsidRPr="000D0EC5" w14:paraId="6C377E58" w14:textId="77777777" w:rsidTr="001126B9">
        <w:trPr>
          <w:trHeight w:val="300"/>
        </w:trPr>
        <w:tc>
          <w:tcPr>
            <w:tcW w:w="2405" w:type="dxa"/>
          </w:tcPr>
          <w:p w14:paraId="0CCF4109" w14:textId="126D59DA" w:rsidR="001126B9" w:rsidRPr="001D36D7" w:rsidRDefault="001126B9" w:rsidP="003D5BAB">
            <w:pPr>
              <w:rPr>
                <w:rFonts w:ascii="Calibri" w:hAnsi="Calibri" w:cs="Calibri"/>
              </w:rPr>
            </w:pPr>
            <w:r w:rsidRPr="001D36D7">
              <w:rPr>
                <w:rFonts w:ascii="Calibri" w:hAnsi="Calibri" w:cs="Calibri"/>
              </w:rPr>
              <w:t>Mode of Delivery</w:t>
            </w:r>
          </w:p>
        </w:tc>
        <w:tc>
          <w:tcPr>
            <w:tcW w:w="3402" w:type="dxa"/>
          </w:tcPr>
          <w:p w14:paraId="4F8924FD" w14:textId="7CC1DBBC" w:rsidR="001126B9" w:rsidRPr="001D36D7" w:rsidRDefault="001126B9" w:rsidP="003D5BAB">
            <w:pPr>
              <w:rPr>
                <w:rFonts w:ascii="Calibri" w:hAnsi="Calibri" w:cs="Calibri"/>
              </w:rPr>
            </w:pPr>
            <w:r w:rsidRPr="001D36D7">
              <w:rPr>
                <w:rFonts w:ascii="Calibri" w:hAnsi="Calibri" w:cs="Calibri"/>
              </w:rPr>
              <w:t xml:space="preserve">Required for the application of funding rates. </w:t>
            </w:r>
            <w:r w:rsidRPr="001D36D7">
              <w:rPr>
                <w:rFonts w:ascii="Calibri" w:hAnsi="Calibri" w:cs="Calibri"/>
              </w:rPr>
              <w:br/>
              <w:t>Except for Pathway to Work mode, this replaces the manual templates previously required.</w:t>
            </w:r>
          </w:p>
        </w:tc>
        <w:tc>
          <w:tcPr>
            <w:tcW w:w="2977" w:type="dxa"/>
          </w:tcPr>
          <w:p w14:paraId="35A8FD74" w14:textId="77777777" w:rsidR="001126B9" w:rsidRDefault="001126B9" w:rsidP="003D5BAB">
            <w:pPr>
              <w:rPr>
                <w:rFonts w:ascii="Calibri" w:hAnsi="Calibri" w:cs="Calibri"/>
              </w:rPr>
            </w:pPr>
            <w:r>
              <w:rPr>
                <w:rFonts w:ascii="Calibri" w:hAnsi="Calibri" w:cs="Calibri"/>
              </w:rPr>
              <w:t>Yes, c</w:t>
            </w:r>
            <w:r w:rsidRPr="001D36D7">
              <w:rPr>
                <w:rFonts w:ascii="Calibri" w:hAnsi="Calibri" w:cs="Calibri"/>
              </w:rPr>
              <w:t>urrent value applied as part of migration</w:t>
            </w:r>
            <w:r w:rsidR="009D57DC">
              <w:rPr>
                <w:rFonts w:ascii="Calibri" w:hAnsi="Calibri" w:cs="Calibri"/>
              </w:rPr>
              <w:t>.</w:t>
            </w:r>
          </w:p>
          <w:p w14:paraId="7BCDB8CA" w14:textId="42C2F3D7" w:rsidR="009D57DC" w:rsidRPr="001D36D7" w:rsidRDefault="009D57DC" w:rsidP="003D5BAB">
            <w:pPr>
              <w:rPr>
                <w:rFonts w:ascii="Calibri" w:hAnsi="Calibri" w:cs="Calibri"/>
              </w:rPr>
            </w:pPr>
          </w:p>
        </w:tc>
        <w:tc>
          <w:tcPr>
            <w:tcW w:w="2835" w:type="dxa"/>
          </w:tcPr>
          <w:p w14:paraId="15B1E2B9" w14:textId="157D9D2F" w:rsidR="001126B9" w:rsidRPr="001D36D7" w:rsidRDefault="001126B9" w:rsidP="003D5BAB">
            <w:pPr>
              <w:rPr>
                <w:rFonts w:ascii="Calibri" w:hAnsi="Calibri" w:cs="Calibri"/>
              </w:rPr>
            </w:pPr>
            <w:r>
              <w:rPr>
                <w:rFonts w:ascii="Calibri" w:hAnsi="Calibri" w:cs="Calibri"/>
              </w:rPr>
              <w:t>n/a</w:t>
            </w:r>
          </w:p>
        </w:tc>
        <w:tc>
          <w:tcPr>
            <w:tcW w:w="2835" w:type="dxa"/>
          </w:tcPr>
          <w:p w14:paraId="05FEBA88" w14:textId="4F6CD01B" w:rsidR="001126B9" w:rsidRPr="001D36D7" w:rsidRDefault="001126B9" w:rsidP="003D5BAB">
            <w:pPr>
              <w:rPr>
                <w:rFonts w:ascii="Calibri" w:hAnsi="Calibri" w:cs="Calibri"/>
              </w:rPr>
            </w:pPr>
            <w:r w:rsidRPr="001D36D7">
              <w:rPr>
                <w:rFonts w:ascii="Calibri" w:hAnsi="Calibri" w:cs="Calibri"/>
              </w:rPr>
              <w:t>Yes, however TEC will continue to apply Pathway mode.</w:t>
            </w:r>
          </w:p>
        </w:tc>
      </w:tr>
      <w:tr w:rsidR="001126B9" w:rsidRPr="000D0EC5" w14:paraId="0CD49271" w14:textId="77777777" w:rsidTr="001126B9">
        <w:trPr>
          <w:trHeight w:val="300"/>
        </w:trPr>
        <w:tc>
          <w:tcPr>
            <w:tcW w:w="2405" w:type="dxa"/>
          </w:tcPr>
          <w:p w14:paraId="2DDAA454" w14:textId="2C8D188E" w:rsidR="001126B9" w:rsidRPr="001D36D7" w:rsidRDefault="001126B9" w:rsidP="003D5BAB">
            <w:pPr>
              <w:rPr>
                <w:rFonts w:ascii="Calibri" w:hAnsi="Calibri" w:cs="Calibri"/>
              </w:rPr>
            </w:pPr>
            <w:r w:rsidRPr="001D36D7">
              <w:rPr>
                <w:rFonts w:ascii="Calibri" w:hAnsi="Calibri" w:cs="Calibri"/>
              </w:rPr>
              <w:t>Study Type Code</w:t>
            </w:r>
          </w:p>
        </w:tc>
        <w:tc>
          <w:tcPr>
            <w:tcW w:w="3402" w:type="dxa"/>
          </w:tcPr>
          <w:p w14:paraId="12E4DCE6" w14:textId="7A4C3D6E" w:rsidR="001126B9" w:rsidRPr="001D36D7" w:rsidRDefault="001126B9" w:rsidP="003D5BAB">
            <w:pPr>
              <w:rPr>
                <w:rFonts w:ascii="Calibri" w:hAnsi="Calibri" w:cs="Calibri"/>
              </w:rPr>
            </w:pPr>
            <w:r w:rsidRPr="001D36D7">
              <w:rPr>
                <w:rFonts w:ascii="Calibri" w:hAnsi="Calibri" w:cs="Calibri"/>
              </w:rPr>
              <w:t>To identify whether the learner is undertaking industry training, Trades Academies or an NZA programme.</w:t>
            </w:r>
          </w:p>
        </w:tc>
        <w:tc>
          <w:tcPr>
            <w:tcW w:w="2977" w:type="dxa"/>
          </w:tcPr>
          <w:p w14:paraId="66643257" w14:textId="41BA84C7" w:rsidR="001126B9" w:rsidRPr="001D36D7" w:rsidRDefault="009D57DC" w:rsidP="003D5BAB">
            <w:pPr>
              <w:rPr>
                <w:rFonts w:ascii="Calibri" w:hAnsi="Calibri" w:cs="Calibri"/>
              </w:rPr>
            </w:pPr>
            <w:r>
              <w:rPr>
                <w:rFonts w:ascii="Calibri" w:hAnsi="Calibri" w:cs="Calibri"/>
              </w:rPr>
              <w:t xml:space="preserve">Yes, TEC is </w:t>
            </w:r>
            <w:r w:rsidR="00435878">
              <w:rPr>
                <w:rFonts w:ascii="Calibri" w:hAnsi="Calibri" w:cs="Calibri"/>
              </w:rPr>
              <w:t>migrating</w:t>
            </w:r>
            <w:r w:rsidRPr="001D36D7">
              <w:rPr>
                <w:rFonts w:ascii="Calibri" w:hAnsi="Calibri" w:cs="Calibri"/>
              </w:rPr>
              <w:t xml:space="preserve"> from </w:t>
            </w:r>
            <w:r>
              <w:rPr>
                <w:rFonts w:ascii="Calibri" w:hAnsi="Calibri" w:cs="Calibri"/>
              </w:rPr>
              <w:t xml:space="preserve">our </w:t>
            </w:r>
            <w:r w:rsidRPr="001D36D7">
              <w:rPr>
                <w:rFonts w:ascii="Calibri" w:hAnsi="Calibri" w:cs="Calibri"/>
              </w:rPr>
              <w:t>current data set</w:t>
            </w:r>
            <w:r>
              <w:rPr>
                <w:rFonts w:ascii="Calibri" w:hAnsi="Calibri" w:cs="Calibri"/>
              </w:rPr>
              <w:t xml:space="preserve"> (with mapping from ITR funding source code)</w:t>
            </w:r>
          </w:p>
        </w:tc>
        <w:tc>
          <w:tcPr>
            <w:tcW w:w="2835" w:type="dxa"/>
          </w:tcPr>
          <w:p w14:paraId="72112FE9" w14:textId="65466CD3" w:rsidR="001126B9" w:rsidRPr="001D36D7" w:rsidRDefault="001126B9" w:rsidP="003D5BAB">
            <w:pPr>
              <w:rPr>
                <w:rFonts w:ascii="Calibri" w:hAnsi="Calibri" w:cs="Calibri"/>
              </w:rPr>
            </w:pPr>
            <w:r>
              <w:rPr>
                <w:rFonts w:ascii="Calibri" w:hAnsi="Calibri" w:cs="Calibri"/>
              </w:rPr>
              <w:t>n/a</w:t>
            </w:r>
          </w:p>
        </w:tc>
        <w:tc>
          <w:tcPr>
            <w:tcW w:w="2835" w:type="dxa"/>
          </w:tcPr>
          <w:p w14:paraId="37DEF1C6" w14:textId="4C2D24FA" w:rsidR="001126B9" w:rsidRPr="001D36D7" w:rsidRDefault="001126B9" w:rsidP="003D5BAB">
            <w:pPr>
              <w:rPr>
                <w:rFonts w:ascii="Calibri" w:hAnsi="Calibri" w:cs="Calibri"/>
              </w:rPr>
            </w:pPr>
            <w:r w:rsidRPr="001D36D7">
              <w:rPr>
                <w:rFonts w:ascii="Calibri" w:hAnsi="Calibri" w:cs="Calibri"/>
              </w:rPr>
              <w:t>Yes</w:t>
            </w:r>
          </w:p>
        </w:tc>
      </w:tr>
      <w:tr w:rsidR="001126B9" w:rsidRPr="000D0EC5" w14:paraId="23369A7D" w14:textId="77777777" w:rsidTr="001126B9">
        <w:trPr>
          <w:trHeight w:val="300"/>
        </w:trPr>
        <w:tc>
          <w:tcPr>
            <w:tcW w:w="2405" w:type="dxa"/>
          </w:tcPr>
          <w:p w14:paraId="7D6668A6" w14:textId="7617DC96" w:rsidR="001126B9" w:rsidRPr="001D36D7" w:rsidRDefault="001126B9" w:rsidP="003D5BAB">
            <w:pPr>
              <w:rPr>
                <w:rFonts w:ascii="Calibri" w:hAnsi="Calibri" w:cs="Calibri"/>
              </w:rPr>
            </w:pPr>
            <w:r w:rsidRPr="001D36D7">
              <w:rPr>
                <w:rFonts w:ascii="Calibri" w:hAnsi="Calibri" w:cs="Calibri"/>
              </w:rPr>
              <w:t>Deletion Date</w:t>
            </w:r>
          </w:p>
        </w:tc>
        <w:tc>
          <w:tcPr>
            <w:tcW w:w="3402" w:type="dxa"/>
          </w:tcPr>
          <w:p w14:paraId="6FA611EC" w14:textId="7AF05C1D" w:rsidR="001126B9" w:rsidRPr="001D36D7" w:rsidRDefault="001126B9" w:rsidP="003D5BAB">
            <w:pPr>
              <w:rPr>
                <w:rFonts w:ascii="Calibri" w:hAnsi="Calibri" w:cs="Calibri"/>
              </w:rPr>
            </w:pPr>
            <w:r w:rsidRPr="001D36D7">
              <w:rPr>
                <w:rFonts w:ascii="Calibri" w:hAnsi="Calibri" w:cs="Calibri"/>
              </w:rPr>
              <w:t>To identify when an enrolment was deleted.</w:t>
            </w:r>
          </w:p>
        </w:tc>
        <w:tc>
          <w:tcPr>
            <w:tcW w:w="2977" w:type="dxa"/>
          </w:tcPr>
          <w:p w14:paraId="095D5DA3" w14:textId="11AA1108" w:rsidR="001126B9" w:rsidRPr="001D36D7" w:rsidRDefault="001126B9" w:rsidP="003D5BAB">
            <w:pPr>
              <w:rPr>
                <w:rFonts w:ascii="Calibri" w:hAnsi="Calibri" w:cs="Calibri"/>
              </w:rPr>
            </w:pPr>
            <w:r w:rsidRPr="001D36D7">
              <w:rPr>
                <w:rFonts w:ascii="Calibri" w:hAnsi="Calibri" w:cs="Calibri"/>
              </w:rPr>
              <w:t>No</w:t>
            </w:r>
          </w:p>
        </w:tc>
        <w:tc>
          <w:tcPr>
            <w:tcW w:w="2835" w:type="dxa"/>
          </w:tcPr>
          <w:p w14:paraId="7E121CBF" w14:textId="13B235D6" w:rsidR="001126B9" w:rsidRPr="001D36D7" w:rsidRDefault="009D57DC" w:rsidP="003D5BAB">
            <w:pPr>
              <w:rPr>
                <w:rFonts w:ascii="Calibri" w:hAnsi="Calibri" w:cs="Calibri"/>
              </w:rPr>
            </w:pPr>
            <w:r>
              <w:rPr>
                <w:rFonts w:ascii="Calibri" w:hAnsi="Calibri" w:cs="Calibri"/>
              </w:rPr>
              <w:t>As required</w:t>
            </w:r>
          </w:p>
        </w:tc>
        <w:tc>
          <w:tcPr>
            <w:tcW w:w="2835" w:type="dxa"/>
          </w:tcPr>
          <w:p w14:paraId="5CC9AE20" w14:textId="1190B604" w:rsidR="001126B9" w:rsidRPr="001D36D7" w:rsidRDefault="009D57DC" w:rsidP="003D5BAB">
            <w:pPr>
              <w:rPr>
                <w:rFonts w:ascii="Calibri" w:hAnsi="Calibri" w:cs="Calibri"/>
              </w:rPr>
            </w:pPr>
            <w:r>
              <w:rPr>
                <w:rFonts w:ascii="Calibri" w:hAnsi="Calibri" w:cs="Calibri"/>
              </w:rPr>
              <w:t>As required</w:t>
            </w:r>
          </w:p>
        </w:tc>
      </w:tr>
    </w:tbl>
    <w:p w14:paraId="6B0C8A1D" w14:textId="77777777" w:rsidR="00435683" w:rsidRDefault="00435683" w:rsidP="00786FDA">
      <w:pPr>
        <w:rPr>
          <w:rFonts w:ascii="Calibri" w:hAnsi="Calibri" w:cs="Calibri"/>
        </w:rPr>
      </w:pPr>
    </w:p>
    <w:p w14:paraId="69AEB913" w14:textId="79586C39" w:rsidR="00282C52" w:rsidRDefault="00282C52" w:rsidP="00FE489C">
      <w:pPr>
        <w:rPr>
          <w:b/>
          <w:color w:val="215E99" w:themeColor="text2" w:themeTint="BF"/>
          <w:sz w:val="24"/>
          <w:szCs w:val="24"/>
        </w:rPr>
      </w:pPr>
    </w:p>
    <w:p w14:paraId="6D21F8C3" w14:textId="77777777" w:rsidR="00282C52" w:rsidRDefault="00282C52">
      <w:pPr>
        <w:rPr>
          <w:b/>
          <w:color w:val="215E99" w:themeColor="text2" w:themeTint="BF"/>
          <w:sz w:val="24"/>
          <w:szCs w:val="24"/>
        </w:rPr>
      </w:pPr>
      <w:r>
        <w:rPr>
          <w:b/>
          <w:color w:val="215E99" w:themeColor="text2" w:themeTint="BF"/>
          <w:sz w:val="24"/>
          <w:szCs w:val="24"/>
        </w:rPr>
        <w:br w:type="page"/>
      </w:r>
    </w:p>
    <w:p w14:paraId="62DDE6D9" w14:textId="4F64E7EB" w:rsidR="0020101A" w:rsidRDefault="0020101A" w:rsidP="00FE489C">
      <w:pPr>
        <w:rPr>
          <w:b/>
          <w:color w:val="215E99" w:themeColor="text2" w:themeTint="BF"/>
          <w:sz w:val="24"/>
          <w:szCs w:val="24"/>
        </w:rPr>
      </w:pPr>
      <w:r w:rsidRPr="0020101A">
        <w:rPr>
          <w:b/>
          <w:color w:val="215E99" w:themeColor="text2" w:themeTint="BF"/>
          <w:sz w:val="24"/>
          <w:szCs w:val="24"/>
        </w:rPr>
        <w:t>Appendix A – Example screenshot for “GET all” within the programme section</w:t>
      </w:r>
      <w:r>
        <w:rPr>
          <w:b/>
          <w:color w:val="215E99" w:themeColor="text2" w:themeTint="BF"/>
          <w:sz w:val="24"/>
          <w:szCs w:val="24"/>
        </w:rPr>
        <w:t xml:space="preserve"> on the API portal</w:t>
      </w:r>
    </w:p>
    <w:p w14:paraId="1CB7CD70" w14:textId="4532BF54" w:rsidR="00644F46" w:rsidRPr="00874F68" w:rsidRDefault="00F171FA" w:rsidP="00FE489C">
      <w:r w:rsidRPr="00F171FA">
        <w:rPr>
          <w:noProof/>
        </w:rPr>
        <w:drawing>
          <wp:inline distT="0" distB="0" distL="0" distR="0" wp14:anchorId="46E2D9CC" wp14:editId="020097A1">
            <wp:extent cx="5678704" cy="4909577"/>
            <wp:effectExtent l="0" t="0" r="0" b="5715"/>
            <wp:docPr id="1538597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97412" name=""/>
                    <pic:cNvPicPr/>
                  </pic:nvPicPr>
                  <pic:blipFill>
                    <a:blip r:embed="rId8"/>
                    <a:stretch>
                      <a:fillRect/>
                    </a:stretch>
                  </pic:blipFill>
                  <pic:spPr>
                    <a:xfrm>
                      <a:off x="0" y="0"/>
                      <a:ext cx="5679844" cy="4910563"/>
                    </a:xfrm>
                    <a:prstGeom prst="rect">
                      <a:avLst/>
                    </a:prstGeom>
                  </pic:spPr>
                </pic:pic>
              </a:graphicData>
            </a:graphic>
          </wp:inline>
        </w:drawing>
      </w:r>
    </w:p>
    <w:sectPr w:rsidR="00644F46" w:rsidRPr="00874F68" w:rsidSect="008840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39BBB" w14:textId="77777777" w:rsidR="004F5D56" w:rsidRDefault="004F5D56" w:rsidP="00305FAB">
      <w:pPr>
        <w:spacing w:after="0" w:line="240" w:lineRule="auto"/>
      </w:pPr>
      <w:r>
        <w:separator/>
      </w:r>
    </w:p>
  </w:endnote>
  <w:endnote w:type="continuationSeparator" w:id="0">
    <w:p w14:paraId="3F3C8353" w14:textId="77777777" w:rsidR="004F5D56" w:rsidRDefault="004F5D56" w:rsidP="0030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9F477" w14:textId="77777777" w:rsidR="004F5D56" w:rsidRDefault="004F5D56" w:rsidP="00305FAB">
      <w:pPr>
        <w:spacing w:after="0" w:line="240" w:lineRule="auto"/>
      </w:pPr>
      <w:r>
        <w:separator/>
      </w:r>
    </w:p>
  </w:footnote>
  <w:footnote w:type="continuationSeparator" w:id="0">
    <w:p w14:paraId="72CBB7BD" w14:textId="77777777" w:rsidR="004F5D56" w:rsidRDefault="004F5D56" w:rsidP="00305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A3D14"/>
    <w:multiLevelType w:val="hybridMultilevel"/>
    <w:tmpl w:val="E8A48E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C037A9"/>
    <w:multiLevelType w:val="hybridMultilevel"/>
    <w:tmpl w:val="1C5C410A"/>
    <w:lvl w:ilvl="0" w:tplc="FFFFFFFF">
      <w:start w:val="1"/>
      <w:numFmt w:val="bullet"/>
      <w:lvlText w:val=""/>
      <w:lvlJc w:val="left"/>
      <w:pPr>
        <w:ind w:left="-360" w:hanging="360"/>
      </w:pPr>
      <w:rPr>
        <w:rFonts w:ascii="Symbol" w:hAnsi="Symbol" w:hint="default"/>
        <w:b/>
      </w:rPr>
    </w:lvl>
    <w:lvl w:ilvl="1" w:tplc="14090001">
      <w:start w:val="1"/>
      <w:numFmt w:val="bullet"/>
      <w:lvlText w:val=""/>
      <w:lvlJc w:val="left"/>
      <w:pPr>
        <w:ind w:left="360" w:hanging="360"/>
      </w:pPr>
      <w:rPr>
        <w:rFonts w:ascii="Symbol" w:hAnsi="Symbol" w:hint="default"/>
      </w:rPr>
    </w:lvl>
    <w:lvl w:ilvl="2" w:tplc="14090003">
      <w:start w:val="1"/>
      <w:numFmt w:val="bullet"/>
      <w:lvlText w:val="o"/>
      <w:lvlJc w:val="left"/>
      <w:pPr>
        <w:ind w:left="1260" w:hanging="360"/>
      </w:pPr>
      <w:rPr>
        <w:rFonts w:ascii="Courier New" w:hAnsi="Courier New" w:cs="Courier New" w:hint="default"/>
      </w:rPr>
    </w:lvl>
    <w:lvl w:ilvl="3" w:tplc="1409000B">
      <w:start w:val="1"/>
      <w:numFmt w:val="bullet"/>
      <w:lvlText w:val=""/>
      <w:lvlJc w:val="left"/>
      <w:pPr>
        <w:ind w:left="1800" w:hanging="360"/>
      </w:pPr>
      <w:rPr>
        <w:rFonts w:ascii="Wingdings" w:hAnsi="Wingdings" w:hint="default"/>
      </w:r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 w15:restartNumberingAfterBreak="0">
    <w:nsid w:val="1AA2690A"/>
    <w:multiLevelType w:val="hybridMultilevel"/>
    <w:tmpl w:val="F24600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2572E6"/>
    <w:multiLevelType w:val="hybridMultilevel"/>
    <w:tmpl w:val="25E637C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E0D0F62"/>
    <w:multiLevelType w:val="hybridMultilevel"/>
    <w:tmpl w:val="B1442BC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22474297"/>
    <w:multiLevelType w:val="multilevel"/>
    <w:tmpl w:val="D8164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747A55"/>
    <w:multiLevelType w:val="hybridMultilevel"/>
    <w:tmpl w:val="C7FCBA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BC97379"/>
    <w:multiLevelType w:val="hybridMultilevel"/>
    <w:tmpl w:val="894491A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2BD964FC"/>
    <w:multiLevelType w:val="hybridMultilevel"/>
    <w:tmpl w:val="FFEA7EF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9" w15:restartNumberingAfterBreak="0">
    <w:nsid w:val="2EB76971"/>
    <w:multiLevelType w:val="hybridMultilevel"/>
    <w:tmpl w:val="E8A48E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B54CA4"/>
    <w:multiLevelType w:val="hybridMultilevel"/>
    <w:tmpl w:val="1D6AB34E"/>
    <w:lvl w:ilvl="0" w:tplc="F6BE926E">
      <w:start w:val="1"/>
      <w:numFmt w:val="bullet"/>
      <w:pStyle w:val="Bullets1"/>
      <w:lvlText w:val="›"/>
      <w:lvlJc w:val="left"/>
      <w:pPr>
        <w:ind w:left="360" w:hanging="360"/>
      </w:pPr>
      <w:rPr>
        <w:rFonts w:ascii="Calibri" w:hAnsi="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9122449"/>
    <w:multiLevelType w:val="hybridMultilevel"/>
    <w:tmpl w:val="9FDC21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A045D66"/>
    <w:multiLevelType w:val="hybridMultilevel"/>
    <w:tmpl w:val="9760CE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B520376"/>
    <w:multiLevelType w:val="hybridMultilevel"/>
    <w:tmpl w:val="EF902B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0AE14D9"/>
    <w:multiLevelType w:val="multilevel"/>
    <w:tmpl w:val="F1D4E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1963F5"/>
    <w:multiLevelType w:val="hybridMultilevel"/>
    <w:tmpl w:val="EF169F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5C27670"/>
    <w:multiLevelType w:val="hybridMultilevel"/>
    <w:tmpl w:val="E8A48EE8"/>
    <w:lvl w:ilvl="0" w:tplc="6DC22C82">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DD649E2"/>
    <w:multiLevelType w:val="hybridMultilevel"/>
    <w:tmpl w:val="378A0A82"/>
    <w:lvl w:ilvl="0" w:tplc="14090001">
      <w:start w:val="1"/>
      <w:numFmt w:val="bullet"/>
      <w:lvlText w:val=""/>
      <w:lvlJc w:val="left"/>
      <w:pPr>
        <w:ind w:left="-360" w:hanging="360"/>
      </w:pPr>
      <w:rPr>
        <w:rFonts w:ascii="Symbol" w:hAnsi="Symbol" w:hint="default"/>
        <w:b/>
      </w:r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8" w15:restartNumberingAfterBreak="0">
    <w:nsid w:val="4E793293"/>
    <w:multiLevelType w:val="hybridMultilevel"/>
    <w:tmpl w:val="ADD443BE"/>
    <w:lvl w:ilvl="0" w:tplc="14090001">
      <w:start w:val="1"/>
      <w:numFmt w:val="bullet"/>
      <w:lvlText w:val=""/>
      <w:lvlJc w:val="left"/>
      <w:pPr>
        <w:ind w:left="360" w:hanging="360"/>
      </w:pPr>
      <w:rPr>
        <w:rFonts w:ascii="Symbol" w:hAnsi="Symbol"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9" w15:restartNumberingAfterBreak="0">
    <w:nsid w:val="4FB17E73"/>
    <w:multiLevelType w:val="hybridMultilevel"/>
    <w:tmpl w:val="BA607F06"/>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F4419E"/>
    <w:multiLevelType w:val="hybridMultilevel"/>
    <w:tmpl w:val="0CB494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C377A4A"/>
    <w:multiLevelType w:val="hybridMultilevel"/>
    <w:tmpl w:val="93A49A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C404DF6"/>
    <w:multiLevelType w:val="hybridMultilevel"/>
    <w:tmpl w:val="5D5AB4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FD77D50"/>
    <w:multiLevelType w:val="hybridMultilevel"/>
    <w:tmpl w:val="51B63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08E02CE"/>
    <w:multiLevelType w:val="hybridMultilevel"/>
    <w:tmpl w:val="098809D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C1E7D52"/>
    <w:multiLevelType w:val="hybridMultilevel"/>
    <w:tmpl w:val="2264AB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6C83372E"/>
    <w:multiLevelType w:val="hybridMultilevel"/>
    <w:tmpl w:val="CA28FC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71743D57"/>
    <w:multiLevelType w:val="hybridMultilevel"/>
    <w:tmpl w:val="F98637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2A859AC"/>
    <w:multiLevelType w:val="hybridMultilevel"/>
    <w:tmpl w:val="B0482AD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73E5717"/>
    <w:multiLevelType w:val="hybridMultilevel"/>
    <w:tmpl w:val="C7AA4DEE"/>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C923F92"/>
    <w:multiLevelType w:val="hybridMultilevel"/>
    <w:tmpl w:val="E8A48E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444B61"/>
    <w:multiLevelType w:val="hybridMultilevel"/>
    <w:tmpl w:val="33EEB70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ED17E41"/>
    <w:multiLevelType w:val="hybridMultilevel"/>
    <w:tmpl w:val="C5C00A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FAE7C5E"/>
    <w:multiLevelType w:val="hybridMultilevel"/>
    <w:tmpl w:val="538C816A"/>
    <w:lvl w:ilvl="0" w:tplc="FFFFFFFF">
      <w:start w:val="1"/>
      <w:numFmt w:val="bullet"/>
      <w:lvlText w:val=""/>
      <w:lvlJc w:val="left"/>
      <w:pPr>
        <w:ind w:left="-360" w:hanging="360"/>
      </w:pPr>
      <w:rPr>
        <w:rFonts w:ascii="Symbol" w:hAnsi="Symbol" w:hint="default"/>
        <w:b/>
      </w:rPr>
    </w:lvl>
    <w:lvl w:ilvl="1" w:tplc="FFFFFFFF">
      <w:start w:val="1"/>
      <w:numFmt w:val="bullet"/>
      <w:lvlText w:val=""/>
      <w:lvlJc w:val="left"/>
      <w:pPr>
        <w:ind w:left="360" w:hanging="360"/>
      </w:pPr>
      <w:rPr>
        <w:rFonts w:ascii="Symbol" w:hAnsi="Symbol" w:hint="default"/>
      </w:rPr>
    </w:lvl>
    <w:lvl w:ilvl="2" w:tplc="14090003">
      <w:start w:val="1"/>
      <w:numFmt w:val="bullet"/>
      <w:lvlText w:val="o"/>
      <w:lvlJc w:val="left"/>
      <w:pPr>
        <w:ind w:left="1260" w:hanging="360"/>
      </w:pPr>
      <w:rPr>
        <w:rFonts w:ascii="Courier New" w:hAnsi="Courier New" w:cs="Courier New" w:hint="default"/>
      </w:r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num w:numId="1" w16cid:durableId="1203322699">
    <w:abstractNumId w:val="22"/>
  </w:num>
  <w:num w:numId="2" w16cid:durableId="2082284767">
    <w:abstractNumId w:val="13"/>
  </w:num>
  <w:num w:numId="3" w16cid:durableId="1561016609">
    <w:abstractNumId w:val="21"/>
  </w:num>
  <w:num w:numId="4" w16cid:durableId="578487936">
    <w:abstractNumId w:val="2"/>
  </w:num>
  <w:num w:numId="5" w16cid:durableId="535047778">
    <w:abstractNumId w:val="3"/>
  </w:num>
  <w:num w:numId="6" w16cid:durableId="282616867">
    <w:abstractNumId w:val="20"/>
  </w:num>
  <w:num w:numId="7" w16cid:durableId="777602029">
    <w:abstractNumId w:val="4"/>
  </w:num>
  <w:num w:numId="8" w16cid:durableId="858855445">
    <w:abstractNumId w:val="24"/>
  </w:num>
  <w:num w:numId="9" w16cid:durableId="1667395494">
    <w:abstractNumId w:val="32"/>
  </w:num>
  <w:num w:numId="10" w16cid:durableId="1902785558">
    <w:abstractNumId w:val="31"/>
  </w:num>
  <w:num w:numId="11" w16cid:durableId="950674293">
    <w:abstractNumId w:val="26"/>
  </w:num>
  <w:num w:numId="12" w16cid:durableId="1564482774">
    <w:abstractNumId w:val="27"/>
  </w:num>
  <w:num w:numId="13" w16cid:durableId="1590776344">
    <w:abstractNumId w:val="10"/>
  </w:num>
  <w:num w:numId="14" w16cid:durableId="510531820">
    <w:abstractNumId w:val="11"/>
  </w:num>
  <w:num w:numId="15" w16cid:durableId="1064833534">
    <w:abstractNumId w:val="23"/>
  </w:num>
  <w:num w:numId="16" w16cid:durableId="1756979255">
    <w:abstractNumId w:val="19"/>
  </w:num>
  <w:num w:numId="17" w16cid:durableId="697782131">
    <w:abstractNumId w:val="16"/>
  </w:num>
  <w:num w:numId="18" w16cid:durableId="1834030699">
    <w:abstractNumId w:val="0"/>
  </w:num>
  <w:num w:numId="19" w16cid:durableId="1987853826">
    <w:abstractNumId w:val="30"/>
  </w:num>
  <w:num w:numId="20" w16cid:durableId="1557087866">
    <w:abstractNumId w:val="9"/>
  </w:num>
  <w:num w:numId="21" w16cid:durableId="112331823">
    <w:abstractNumId w:val="7"/>
  </w:num>
  <w:num w:numId="22" w16cid:durableId="739671529">
    <w:abstractNumId w:val="17"/>
  </w:num>
  <w:num w:numId="23" w16cid:durableId="1384526787">
    <w:abstractNumId w:val="28"/>
  </w:num>
  <w:num w:numId="24" w16cid:durableId="610361331">
    <w:abstractNumId w:val="12"/>
  </w:num>
  <w:num w:numId="25" w16cid:durableId="2057582953">
    <w:abstractNumId w:val="15"/>
  </w:num>
  <w:num w:numId="26" w16cid:durableId="17855390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44465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4750996">
    <w:abstractNumId w:val="25"/>
  </w:num>
  <w:num w:numId="29" w16cid:durableId="1313101872">
    <w:abstractNumId w:val="29"/>
  </w:num>
  <w:num w:numId="30" w16cid:durableId="231618445">
    <w:abstractNumId w:val="1"/>
  </w:num>
  <w:num w:numId="31" w16cid:durableId="2046364790">
    <w:abstractNumId w:val="33"/>
  </w:num>
  <w:num w:numId="32" w16cid:durableId="710226490">
    <w:abstractNumId w:val="5"/>
  </w:num>
  <w:num w:numId="33" w16cid:durableId="925726471">
    <w:abstractNumId w:val="6"/>
  </w:num>
  <w:num w:numId="34" w16cid:durableId="17214405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68"/>
    <w:rsid w:val="00001FDB"/>
    <w:rsid w:val="0000435D"/>
    <w:rsid w:val="00004C56"/>
    <w:rsid w:val="00006A31"/>
    <w:rsid w:val="00006F30"/>
    <w:rsid w:val="00010F7C"/>
    <w:rsid w:val="0001470E"/>
    <w:rsid w:val="0002245E"/>
    <w:rsid w:val="00023A51"/>
    <w:rsid w:val="00023BE2"/>
    <w:rsid w:val="0002570B"/>
    <w:rsid w:val="000350C3"/>
    <w:rsid w:val="00035B54"/>
    <w:rsid w:val="00037942"/>
    <w:rsid w:val="0004399B"/>
    <w:rsid w:val="0004419D"/>
    <w:rsid w:val="00053F70"/>
    <w:rsid w:val="00055791"/>
    <w:rsid w:val="0006007C"/>
    <w:rsid w:val="000606CE"/>
    <w:rsid w:val="00060AC1"/>
    <w:rsid w:val="00076057"/>
    <w:rsid w:val="00076409"/>
    <w:rsid w:val="00076FA6"/>
    <w:rsid w:val="00077C9E"/>
    <w:rsid w:val="0008019E"/>
    <w:rsid w:val="0008100D"/>
    <w:rsid w:val="000835C6"/>
    <w:rsid w:val="0008443E"/>
    <w:rsid w:val="00084C17"/>
    <w:rsid w:val="00084CE9"/>
    <w:rsid w:val="00091116"/>
    <w:rsid w:val="00093CD3"/>
    <w:rsid w:val="00096EA8"/>
    <w:rsid w:val="00096F19"/>
    <w:rsid w:val="000A4655"/>
    <w:rsid w:val="000A5B80"/>
    <w:rsid w:val="000C2BC0"/>
    <w:rsid w:val="000C3B45"/>
    <w:rsid w:val="000C6AE2"/>
    <w:rsid w:val="000D0DF8"/>
    <w:rsid w:val="000D0EC5"/>
    <w:rsid w:val="000D3047"/>
    <w:rsid w:val="000D5929"/>
    <w:rsid w:val="000E6665"/>
    <w:rsid w:val="000F6824"/>
    <w:rsid w:val="000F7749"/>
    <w:rsid w:val="0010190C"/>
    <w:rsid w:val="00101A21"/>
    <w:rsid w:val="00102615"/>
    <w:rsid w:val="00102693"/>
    <w:rsid w:val="00106148"/>
    <w:rsid w:val="001126B9"/>
    <w:rsid w:val="001149F5"/>
    <w:rsid w:val="00116F7E"/>
    <w:rsid w:val="00120420"/>
    <w:rsid w:val="001261DC"/>
    <w:rsid w:val="001325D7"/>
    <w:rsid w:val="001333A4"/>
    <w:rsid w:val="0014117A"/>
    <w:rsid w:val="00143C04"/>
    <w:rsid w:val="00143F38"/>
    <w:rsid w:val="0016127E"/>
    <w:rsid w:val="001665DE"/>
    <w:rsid w:val="00167216"/>
    <w:rsid w:val="00167AE6"/>
    <w:rsid w:val="00173FD7"/>
    <w:rsid w:val="00177E4D"/>
    <w:rsid w:val="001801B6"/>
    <w:rsid w:val="001814B0"/>
    <w:rsid w:val="00187B95"/>
    <w:rsid w:val="001908A6"/>
    <w:rsid w:val="001A2A61"/>
    <w:rsid w:val="001A6FDF"/>
    <w:rsid w:val="001A76EC"/>
    <w:rsid w:val="001B0736"/>
    <w:rsid w:val="001B3183"/>
    <w:rsid w:val="001B67F9"/>
    <w:rsid w:val="001B6F20"/>
    <w:rsid w:val="001B75D5"/>
    <w:rsid w:val="001C4CE2"/>
    <w:rsid w:val="001C6415"/>
    <w:rsid w:val="001C6727"/>
    <w:rsid w:val="001D1CB9"/>
    <w:rsid w:val="001D36D7"/>
    <w:rsid w:val="001E2FEF"/>
    <w:rsid w:val="001E565B"/>
    <w:rsid w:val="001E62EB"/>
    <w:rsid w:val="001F02E2"/>
    <w:rsid w:val="001F5824"/>
    <w:rsid w:val="00200C55"/>
    <w:rsid w:val="0020101A"/>
    <w:rsid w:val="00203A14"/>
    <w:rsid w:val="00211018"/>
    <w:rsid w:val="00217AA7"/>
    <w:rsid w:val="00220FB6"/>
    <w:rsid w:val="00222DA3"/>
    <w:rsid w:val="002232C2"/>
    <w:rsid w:val="00223D6D"/>
    <w:rsid w:val="00225F76"/>
    <w:rsid w:val="00235C65"/>
    <w:rsid w:val="00235E8F"/>
    <w:rsid w:val="00236DAA"/>
    <w:rsid w:val="00237051"/>
    <w:rsid w:val="00237254"/>
    <w:rsid w:val="0024021F"/>
    <w:rsid w:val="00242A82"/>
    <w:rsid w:val="00245688"/>
    <w:rsid w:val="00250673"/>
    <w:rsid w:val="00255877"/>
    <w:rsid w:val="00256C38"/>
    <w:rsid w:val="00266BD6"/>
    <w:rsid w:val="00275595"/>
    <w:rsid w:val="00281BED"/>
    <w:rsid w:val="00281DC0"/>
    <w:rsid w:val="002826D2"/>
    <w:rsid w:val="00282C52"/>
    <w:rsid w:val="0028539D"/>
    <w:rsid w:val="00286EDE"/>
    <w:rsid w:val="00287F51"/>
    <w:rsid w:val="00290D33"/>
    <w:rsid w:val="00292697"/>
    <w:rsid w:val="002966DF"/>
    <w:rsid w:val="002A1D05"/>
    <w:rsid w:val="002A4327"/>
    <w:rsid w:val="002A4659"/>
    <w:rsid w:val="002A46D5"/>
    <w:rsid w:val="002A4928"/>
    <w:rsid w:val="002A769A"/>
    <w:rsid w:val="002B1DFB"/>
    <w:rsid w:val="002B298D"/>
    <w:rsid w:val="002B777D"/>
    <w:rsid w:val="002C3CC9"/>
    <w:rsid w:val="002C7B92"/>
    <w:rsid w:val="002D1A2C"/>
    <w:rsid w:val="002D31EF"/>
    <w:rsid w:val="002E0332"/>
    <w:rsid w:val="002E30CC"/>
    <w:rsid w:val="002F4798"/>
    <w:rsid w:val="002F5CF9"/>
    <w:rsid w:val="002F6E8B"/>
    <w:rsid w:val="002F7EC0"/>
    <w:rsid w:val="00300C29"/>
    <w:rsid w:val="00304242"/>
    <w:rsid w:val="00304C4F"/>
    <w:rsid w:val="00305FAB"/>
    <w:rsid w:val="00316BF5"/>
    <w:rsid w:val="003206F1"/>
    <w:rsid w:val="00321442"/>
    <w:rsid w:val="0032568B"/>
    <w:rsid w:val="00327463"/>
    <w:rsid w:val="00327D23"/>
    <w:rsid w:val="00331F39"/>
    <w:rsid w:val="00332920"/>
    <w:rsid w:val="00335E53"/>
    <w:rsid w:val="0033708A"/>
    <w:rsid w:val="00337718"/>
    <w:rsid w:val="0034390B"/>
    <w:rsid w:val="00343D19"/>
    <w:rsid w:val="0034420B"/>
    <w:rsid w:val="00350BBE"/>
    <w:rsid w:val="003515C4"/>
    <w:rsid w:val="00351BDB"/>
    <w:rsid w:val="0035725F"/>
    <w:rsid w:val="00361569"/>
    <w:rsid w:val="00362CCA"/>
    <w:rsid w:val="0036410A"/>
    <w:rsid w:val="0036544F"/>
    <w:rsid w:val="00367699"/>
    <w:rsid w:val="0038168F"/>
    <w:rsid w:val="003869D4"/>
    <w:rsid w:val="00387096"/>
    <w:rsid w:val="00391A76"/>
    <w:rsid w:val="00392FC3"/>
    <w:rsid w:val="003934AB"/>
    <w:rsid w:val="00396907"/>
    <w:rsid w:val="00397FBA"/>
    <w:rsid w:val="003A114E"/>
    <w:rsid w:val="003A5F9A"/>
    <w:rsid w:val="003A7586"/>
    <w:rsid w:val="003A7FFD"/>
    <w:rsid w:val="003B0EAC"/>
    <w:rsid w:val="003B3EE1"/>
    <w:rsid w:val="003B4E78"/>
    <w:rsid w:val="003C0F5A"/>
    <w:rsid w:val="003C14F5"/>
    <w:rsid w:val="003C162C"/>
    <w:rsid w:val="003D1FE0"/>
    <w:rsid w:val="003D5BAB"/>
    <w:rsid w:val="003D6D94"/>
    <w:rsid w:val="003E2BD7"/>
    <w:rsid w:val="003E2F96"/>
    <w:rsid w:val="003F2536"/>
    <w:rsid w:val="003F6B95"/>
    <w:rsid w:val="0040132D"/>
    <w:rsid w:val="0040533C"/>
    <w:rsid w:val="00410CD9"/>
    <w:rsid w:val="00412F81"/>
    <w:rsid w:val="00413173"/>
    <w:rsid w:val="00413209"/>
    <w:rsid w:val="00416A94"/>
    <w:rsid w:val="004218D2"/>
    <w:rsid w:val="004231B9"/>
    <w:rsid w:val="00423984"/>
    <w:rsid w:val="00423E6D"/>
    <w:rsid w:val="00426015"/>
    <w:rsid w:val="00426583"/>
    <w:rsid w:val="00426D3D"/>
    <w:rsid w:val="00430387"/>
    <w:rsid w:val="00430D07"/>
    <w:rsid w:val="00431B56"/>
    <w:rsid w:val="00435683"/>
    <w:rsid w:val="00435878"/>
    <w:rsid w:val="00440003"/>
    <w:rsid w:val="00440A5B"/>
    <w:rsid w:val="004411E5"/>
    <w:rsid w:val="0044230A"/>
    <w:rsid w:val="00442C90"/>
    <w:rsid w:val="004448BD"/>
    <w:rsid w:val="0044594D"/>
    <w:rsid w:val="0044646E"/>
    <w:rsid w:val="00452FBB"/>
    <w:rsid w:val="00454582"/>
    <w:rsid w:val="00454B6E"/>
    <w:rsid w:val="00457EC2"/>
    <w:rsid w:val="00475CF5"/>
    <w:rsid w:val="00476045"/>
    <w:rsid w:val="004763F8"/>
    <w:rsid w:val="004803F2"/>
    <w:rsid w:val="00481599"/>
    <w:rsid w:val="004833EA"/>
    <w:rsid w:val="00485A39"/>
    <w:rsid w:val="004958BB"/>
    <w:rsid w:val="004A4D70"/>
    <w:rsid w:val="004A60DB"/>
    <w:rsid w:val="004B09D3"/>
    <w:rsid w:val="004B3624"/>
    <w:rsid w:val="004B45AB"/>
    <w:rsid w:val="004B7D9A"/>
    <w:rsid w:val="004B7E52"/>
    <w:rsid w:val="004C0C60"/>
    <w:rsid w:val="004C113F"/>
    <w:rsid w:val="004C146C"/>
    <w:rsid w:val="004C2C24"/>
    <w:rsid w:val="004C6E39"/>
    <w:rsid w:val="004D1169"/>
    <w:rsid w:val="004D417B"/>
    <w:rsid w:val="004D471F"/>
    <w:rsid w:val="004E15CB"/>
    <w:rsid w:val="004E16EF"/>
    <w:rsid w:val="004E4B84"/>
    <w:rsid w:val="004E4D3E"/>
    <w:rsid w:val="004E7FB6"/>
    <w:rsid w:val="004F5C1F"/>
    <w:rsid w:val="004F5D56"/>
    <w:rsid w:val="004F7D59"/>
    <w:rsid w:val="004F7FA6"/>
    <w:rsid w:val="005007EA"/>
    <w:rsid w:val="0050393C"/>
    <w:rsid w:val="00504262"/>
    <w:rsid w:val="0050513D"/>
    <w:rsid w:val="005107C8"/>
    <w:rsid w:val="00521D48"/>
    <w:rsid w:val="00523709"/>
    <w:rsid w:val="00531881"/>
    <w:rsid w:val="00541BDD"/>
    <w:rsid w:val="0054333F"/>
    <w:rsid w:val="005517F7"/>
    <w:rsid w:val="00554CDD"/>
    <w:rsid w:val="00564430"/>
    <w:rsid w:val="005648CA"/>
    <w:rsid w:val="00565B3C"/>
    <w:rsid w:val="0057206B"/>
    <w:rsid w:val="0057364E"/>
    <w:rsid w:val="005772C6"/>
    <w:rsid w:val="00582BBE"/>
    <w:rsid w:val="00586436"/>
    <w:rsid w:val="00590273"/>
    <w:rsid w:val="005902EC"/>
    <w:rsid w:val="00590E2E"/>
    <w:rsid w:val="005922B1"/>
    <w:rsid w:val="0059455C"/>
    <w:rsid w:val="00594D98"/>
    <w:rsid w:val="005974F5"/>
    <w:rsid w:val="005A0E3B"/>
    <w:rsid w:val="005A3ED8"/>
    <w:rsid w:val="005A67CC"/>
    <w:rsid w:val="005B0B9A"/>
    <w:rsid w:val="005B2058"/>
    <w:rsid w:val="005C1646"/>
    <w:rsid w:val="005C1960"/>
    <w:rsid w:val="005C7E85"/>
    <w:rsid w:val="005D000F"/>
    <w:rsid w:val="005D721B"/>
    <w:rsid w:val="005E0D34"/>
    <w:rsid w:val="005E26E6"/>
    <w:rsid w:val="005E61CD"/>
    <w:rsid w:val="005E6FB2"/>
    <w:rsid w:val="00601B0D"/>
    <w:rsid w:val="00602C5A"/>
    <w:rsid w:val="00602F0E"/>
    <w:rsid w:val="0060472A"/>
    <w:rsid w:val="0060756C"/>
    <w:rsid w:val="00607E9D"/>
    <w:rsid w:val="00611F97"/>
    <w:rsid w:val="0061260F"/>
    <w:rsid w:val="00615B4F"/>
    <w:rsid w:val="006165A6"/>
    <w:rsid w:val="00620BC5"/>
    <w:rsid w:val="00622031"/>
    <w:rsid w:val="00623528"/>
    <w:rsid w:val="0062736F"/>
    <w:rsid w:val="00636F83"/>
    <w:rsid w:val="00640153"/>
    <w:rsid w:val="0064410D"/>
    <w:rsid w:val="00644F46"/>
    <w:rsid w:val="00647393"/>
    <w:rsid w:val="006478AB"/>
    <w:rsid w:val="006514DF"/>
    <w:rsid w:val="00655012"/>
    <w:rsid w:val="006708A5"/>
    <w:rsid w:val="00671520"/>
    <w:rsid w:val="00673538"/>
    <w:rsid w:val="00674378"/>
    <w:rsid w:val="006809D2"/>
    <w:rsid w:val="006865CE"/>
    <w:rsid w:val="006906A3"/>
    <w:rsid w:val="00690734"/>
    <w:rsid w:val="00691334"/>
    <w:rsid w:val="00692239"/>
    <w:rsid w:val="006964A1"/>
    <w:rsid w:val="00697066"/>
    <w:rsid w:val="006A12D2"/>
    <w:rsid w:val="006A50D2"/>
    <w:rsid w:val="006B6378"/>
    <w:rsid w:val="006B761F"/>
    <w:rsid w:val="006C188A"/>
    <w:rsid w:val="006C1936"/>
    <w:rsid w:val="006C20C0"/>
    <w:rsid w:val="006C45C3"/>
    <w:rsid w:val="006D0071"/>
    <w:rsid w:val="006D0457"/>
    <w:rsid w:val="006E3D20"/>
    <w:rsid w:val="006E663A"/>
    <w:rsid w:val="006E6C8C"/>
    <w:rsid w:val="006E7438"/>
    <w:rsid w:val="006F45FF"/>
    <w:rsid w:val="006F57E2"/>
    <w:rsid w:val="006F7230"/>
    <w:rsid w:val="007014FB"/>
    <w:rsid w:val="00703CA2"/>
    <w:rsid w:val="00704365"/>
    <w:rsid w:val="00704F2A"/>
    <w:rsid w:val="0070656B"/>
    <w:rsid w:val="0070739A"/>
    <w:rsid w:val="007076FB"/>
    <w:rsid w:val="00707A78"/>
    <w:rsid w:val="00714FE9"/>
    <w:rsid w:val="00715A47"/>
    <w:rsid w:val="00717A01"/>
    <w:rsid w:val="0072270A"/>
    <w:rsid w:val="00723EDF"/>
    <w:rsid w:val="007277AF"/>
    <w:rsid w:val="00727B59"/>
    <w:rsid w:val="0074103D"/>
    <w:rsid w:val="007410DE"/>
    <w:rsid w:val="00744B0E"/>
    <w:rsid w:val="007457CC"/>
    <w:rsid w:val="0074620E"/>
    <w:rsid w:val="00746685"/>
    <w:rsid w:val="007543E7"/>
    <w:rsid w:val="00762990"/>
    <w:rsid w:val="00764A12"/>
    <w:rsid w:val="007670B0"/>
    <w:rsid w:val="00770CBE"/>
    <w:rsid w:val="00772C5D"/>
    <w:rsid w:val="00773592"/>
    <w:rsid w:val="00775433"/>
    <w:rsid w:val="007814DF"/>
    <w:rsid w:val="00785F17"/>
    <w:rsid w:val="00786FDA"/>
    <w:rsid w:val="0079075A"/>
    <w:rsid w:val="007909B1"/>
    <w:rsid w:val="00791DA4"/>
    <w:rsid w:val="00793D03"/>
    <w:rsid w:val="00793F4F"/>
    <w:rsid w:val="007947D1"/>
    <w:rsid w:val="00794C74"/>
    <w:rsid w:val="00794FBB"/>
    <w:rsid w:val="007A1294"/>
    <w:rsid w:val="007A25A5"/>
    <w:rsid w:val="007A3C9B"/>
    <w:rsid w:val="007A60B0"/>
    <w:rsid w:val="007B53FD"/>
    <w:rsid w:val="007B6006"/>
    <w:rsid w:val="007C590E"/>
    <w:rsid w:val="007D1F4E"/>
    <w:rsid w:val="007D27E8"/>
    <w:rsid w:val="007D5294"/>
    <w:rsid w:val="007D626C"/>
    <w:rsid w:val="007D6626"/>
    <w:rsid w:val="007E1FFB"/>
    <w:rsid w:val="007E4D86"/>
    <w:rsid w:val="007E5524"/>
    <w:rsid w:val="007E7CCA"/>
    <w:rsid w:val="007F24B8"/>
    <w:rsid w:val="007F59F5"/>
    <w:rsid w:val="007F646D"/>
    <w:rsid w:val="007F6B16"/>
    <w:rsid w:val="00801FFC"/>
    <w:rsid w:val="008051A6"/>
    <w:rsid w:val="00805791"/>
    <w:rsid w:val="0080695F"/>
    <w:rsid w:val="008075BE"/>
    <w:rsid w:val="008137B4"/>
    <w:rsid w:val="00814D27"/>
    <w:rsid w:val="00817457"/>
    <w:rsid w:val="00820DB6"/>
    <w:rsid w:val="00821D84"/>
    <w:rsid w:val="0082529E"/>
    <w:rsid w:val="0082768B"/>
    <w:rsid w:val="00834996"/>
    <w:rsid w:val="0083684C"/>
    <w:rsid w:val="00836F73"/>
    <w:rsid w:val="00847544"/>
    <w:rsid w:val="0085064F"/>
    <w:rsid w:val="00853005"/>
    <w:rsid w:val="0085411C"/>
    <w:rsid w:val="0085643E"/>
    <w:rsid w:val="00860182"/>
    <w:rsid w:val="00862E91"/>
    <w:rsid w:val="00867554"/>
    <w:rsid w:val="00872434"/>
    <w:rsid w:val="00872562"/>
    <w:rsid w:val="00874F68"/>
    <w:rsid w:val="0087598E"/>
    <w:rsid w:val="00884020"/>
    <w:rsid w:val="00887B7C"/>
    <w:rsid w:val="00887EBF"/>
    <w:rsid w:val="00890A2A"/>
    <w:rsid w:val="00895ED3"/>
    <w:rsid w:val="008B0101"/>
    <w:rsid w:val="008B2A92"/>
    <w:rsid w:val="008B69FD"/>
    <w:rsid w:val="008B7BE8"/>
    <w:rsid w:val="008C0ED4"/>
    <w:rsid w:val="008C2996"/>
    <w:rsid w:val="008C2EB6"/>
    <w:rsid w:val="008C7283"/>
    <w:rsid w:val="008D01C2"/>
    <w:rsid w:val="008D4B04"/>
    <w:rsid w:val="008D6660"/>
    <w:rsid w:val="008E1604"/>
    <w:rsid w:val="008E4E39"/>
    <w:rsid w:val="008E5036"/>
    <w:rsid w:val="008E55BA"/>
    <w:rsid w:val="008E7671"/>
    <w:rsid w:val="008F0B7B"/>
    <w:rsid w:val="008F1B6E"/>
    <w:rsid w:val="008F1DDE"/>
    <w:rsid w:val="008F62BC"/>
    <w:rsid w:val="009008FC"/>
    <w:rsid w:val="00912048"/>
    <w:rsid w:val="009132CD"/>
    <w:rsid w:val="00913436"/>
    <w:rsid w:val="00920E1C"/>
    <w:rsid w:val="009235F5"/>
    <w:rsid w:val="0092480C"/>
    <w:rsid w:val="00925837"/>
    <w:rsid w:val="00925970"/>
    <w:rsid w:val="009269CD"/>
    <w:rsid w:val="009269DB"/>
    <w:rsid w:val="0092733F"/>
    <w:rsid w:val="009277A9"/>
    <w:rsid w:val="0092786E"/>
    <w:rsid w:val="00930D72"/>
    <w:rsid w:val="009427E9"/>
    <w:rsid w:val="009447E0"/>
    <w:rsid w:val="00954336"/>
    <w:rsid w:val="009548A9"/>
    <w:rsid w:val="009549B7"/>
    <w:rsid w:val="00955279"/>
    <w:rsid w:val="00955E00"/>
    <w:rsid w:val="00961AF2"/>
    <w:rsid w:val="00967558"/>
    <w:rsid w:val="009731B3"/>
    <w:rsid w:val="009769CA"/>
    <w:rsid w:val="009774C9"/>
    <w:rsid w:val="00990412"/>
    <w:rsid w:val="00991D76"/>
    <w:rsid w:val="009A2B9B"/>
    <w:rsid w:val="009A3560"/>
    <w:rsid w:val="009B6832"/>
    <w:rsid w:val="009C1F36"/>
    <w:rsid w:val="009C36CE"/>
    <w:rsid w:val="009D26EC"/>
    <w:rsid w:val="009D57DC"/>
    <w:rsid w:val="009E44F2"/>
    <w:rsid w:val="009E5072"/>
    <w:rsid w:val="009E5C09"/>
    <w:rsid w:val="009E6F7D"/>
    <w:rsid w:val="009E7AAB"/>
    <w:rsid w:val="009F05E7"/>
    <w:rsid w:val="009F5810"/>
    <w:rsid w:val="00A01562"/>
    <w:rsid w:val="00A021BC"/>
    <w:rsid w:val="00A02B2A"/>
    <w:rsid w:val="00A1683F"/>
    <w:rsid w:val="00A22D44"/>
    <w:rsid w:val="00A2386A"/>
    <w:rsid w:val="00A23DCD"/>
    <w:rsid w:val="00A24C90"/>
    <w:rsid w:val="00A3084C"/>
    <w:rsid w:val="00A3650B"/>
    <w:rsid w:val="00A37943"/>
    <w:rsid w:val="00A40C8A"/>
    <w:rsid w:val="00A45A62"/>
    <w:rsid w:val="00A50193"/>
    <w:rsid w:val="00A53423"/>
    <w:rsid w:val="00A606FF"/>
    <w:rsid w:val="00A60930"/>
    <w:rsid w:val="00A615F2"/>
    <w:rsid w:val="00A61BC8"/>
    <w:rsid w:val="00A61CB5"/>
    <w:rsid w:val="00A62650"/>
    <w:rsid w:val="00A637D9"/>
    <w:rsid w:val="00A70570"/>
    <w:rsid w:val="00A713DD"/>
    <w:rsid w:val="00A72B31"/>
    <w:rsid w:val="00A751DD"/>
    <w:rsid w:val="00A7694F"/>
    <w:rsid w:val="00A83158"/>
    <w:rsid w:val="00A849CB"/>
    <w:rsid w:val="00A91AF4"/>
    <w:rsid w:val="00A92431"/>
    <w:rsid w:val="00A964DD"/>
    <w:rsid w:val="00AA2644"/>
    <w:rsid w:val="00AA3918"/>
    <w:rsid w:val="00AB4613"/>
    <w:rsid w:val="00AC008A"/>
    <w:rsid w:val="00AD2DB6"/>
    <w:rsid w:val="00AD30D0"/>
    <w:rsid w:val="00AE2261"/>
    <w:rsid w:val="00AE56B1"/>
    <w:rsid w:val="00AF2929"/>
    <w:rsid w:val="00AF3F3F"/>
    <w:rsid w:val="00B00AAB"/>
    <w:rsid w:val="00B0274F"/>
    <w:rsid w:val="00B0342B"/>
    <w:rsid w:val="00B113BF"/>
    <w:rsid w:val="00B12BA8"/>
    <w:rsid w:val="00B1498D"/>
    <w:rsid w:val="00B233E3"/>
    <w:rsid w:val="00B30FAD"/>
    <w:rsid w:val="00B318FD"/>
    <w:rsid w:val="00B31ACF"/>
    <w:rsid w:val="00B31D1C"/>
    <w:rsid w:val="00B3318F"/>
    <w:rsid w:val="00B35A56"/>
    <w:rsid w:val="00B36BF9"/>
    <w:rsid w:val="00B3790D"/>
    <w:rsid w:val="00B403A2"/>
    <w:rsid w:val="00B418DB"/>
    <w:rsid w:val="00B43613"/>
    <w:rsid w:val="00B508AB"/>
    <w:rsid w:val="00B51405"/>
    <w:rsid w:val="00B53D7D"/>
    <w:rsid w:val="00B55AC5"/>
    <w:rsid w:val="00B60776"/>
    <w:rsid w:val="00B6195A"/>
    <w:rsid w:val="00B61FA0"/>
    <w:rsid w:val="00B62FDE"/>
    <w:rsid w:val="00B642A3"/>
    <w:rsid w:val="00B64CA8"/>
    <w:rsid w:val="00B65A37"/>
    <w:rsid w:val="00B745BF"/>
    <w:rsid w:val="00B75C8A"/>
    <w:rsid w:val="00B80874"/>
    <w:rsid w:val="00B84CC0"/>
    <w:rsid w:val="00B90E7E"/>
    <w:rsid w:val="00B96173"/>
    <w:rsid w:val="00BA7753"/>
    <w:rsid w:val="00BB01B0"/>
    <w:rsid w:val="00BB2927"/>
    <w:rsid w:val="00BB2AB9"/>
    <w:rsid w:val="00BB4122"/>
    <w:rsid w:val="00BB57C7"/>
    <w:rsid w:val="00BC3D46"/>
    <w:rsid w:val="00BC555F"/>
    <w:rsid w:val="00BD1ADF"/>
    <w:rsid w:val="00BE1647"/>
    <w:rsid w:val="00BE2FBA"/>
    <w:rsid w:val="00BE43D6"/>
    <w:rsid w:val="00BE5346"/>
    <w:rsid w:val="00BF0F8F"/>
    <w:rsid w:val="00BF16B5"/>
    <w:rsid w:val="00BF59FF"/>
    <w:rsid w:val="00BF7BA2"/>
    <w:rsid w:val="00C028D3"/>
    <w:rsid w:val="00C0749B"/>
    <w:rsid w:val="00C077A9"/>
    <w:rsid w:val="00C10E80"/>
    <w:rsid w:val="00C12A23"/>
    <w:rsid w:val="00C1711F"/>
    <w:rsid w:val="00C23B14"/>
    <w:rsid w:val="00C32B3C"/>
    <w:rsid w:val="00C34D1C"/>
    <w:rsid w:val="00C3604F"/>
    <w:rsid w:val="00C36469"/>
    <w:rsid w:val="00C372A1"/>
    <w:rsid w:val="00C37669"/>
    <w:rsid w:val="00C45600"/>
    <w:rsid w:val="00C4623B"/>
    <w:rsid w:val="00C466A3"/>
    <w:rsid w:val="00C50A62"/>
    <w:rsid w:val="00C532C9"/>
    <w:rsid w:val="00C54040"/>
    <w:rsid w:val="00C55622"/>
    <w:rsid w:val="00C573DA"/>
    <w:rsid w:val="00C656DD"/>
    <w:rsid w:val="00C7120B"/>
    <w:rsid w:val="00C81805"/>
    <w:rsid w:val="00C873C0"/>
    <w:rsid w:val="00C94B86"/>
    <w:rsid w:val="00C971A0"/>
    <w:rsid w:val="00C97B03"/>
    <w:rsid w:val="00CA1F7B"/>
    <w:rsid w:val="00CA64A5"/>
    <w:rsid w:val="00CB0C39"/>
    <w:rsid w:val="00CB49B1"/>
    <w:rsid w:val="00CB7C01"/>
    <w:rsid w:val="00CC1D70"/>
    <w:rsid w:val="00CC403D"/>
    <w:rsid w:val="00CD18E9"/>
    <w:rsid w:val="00CD5C56"/>
    <w:rsid w:val="00CE253E"/>
    <w:rsid w:val="00CE401A"/>
    <w:rsid w:val="00CE4CC7"/>
    <w:rsid w:val="00CE57D6"/>
    <w:rsid w:val="00CE664C"/>
    <w:rsid w:val="00CF0325"/>
    <w:rsid w:val="00CF2DE6"/>
    <w:rsid w:val="00CF3C23"/>
    <w:rsid w:val="00CF4F93"/>
    <w:rsid w:val="00CF535F"/>
    <w:rsid w:val="00D002E1"/>
    <w:rsid w:val="00D01640"/>
    <w:rsid w:val="00D05C77"/>
    <w:rsid w:val="00D10020"/>
    <w:rsid w:val="00D10FEA"/>
    <w:rsid w:val="00D12599"/>
    <w:rsid w:val="00D12F52"/>
    <w:rsid w:val="00D130D1"/>
    <w:rsid w:val="00D17033"/>
    <w:rsid w:val="00D20ECF"/>
    <w:rsid w:val="00D35E30"/>
    <w:rsid w:val="00D44EB9"/>
    <w:rsid w:val="00D47531"/>
    <w:rsid w:val="00D500B3"/>
    <w:rsid w:val="00D52037"/>
    <w:rsid w:val="00D54141"/>
    <w:rsid w:val="00D61816"/>
    <w:rsid w:val="00D63095"/>
    <w:rsid w:val="00D673F9"/>
    <w:rsid w:val="00D72968"/>
    <w:rsid w:val="00D73DC9"/>
    <w:rsid w:val="00D82845"/>
    <w:rsid w:val="00D85098"/>
    <w:rsid w:val="00D87D5B"/>
    <w:rsid w:val="00D920D0"/>
    <w:rsid w:val="00D945F7"/>
    <w:rsid w:val="00D97DEC"/>
    <w:rsid w:val="00DA23B1"/>
    <w:rsid w:val="00DA3A11"/>
    <w:rsid w:val="00DA6B09"/>
    <w:rsid w:val="00DB15B6"/>
    <w:rsid w:val="00DB7072"/>
    <w:rsid w:val="00DC1739"/>
    <w:rsid w:val="00DC6A99"/>
    <w:rsid w:val="00DC7AEF"/>
    <w:rsid w:val="00DE2470"/>
    <w:rsid w:val="00DF0F29"/>
    <w:rsid w:val="00DF1F56"/>
    <w:rsid w:val="00DF2257"/>
    <w:rsid w:val="00DF4A47"/>
    <w:rsid w:val="00E02031"/>
    <w:rsid w:val="00E02E47"/>
    <w:rsid w:val="00E04A20"/>
    <w:rsid w:val="00E05409"/>
    <w:rsid w:val="00E057B7"/>
    <w:rsid w:val="00E07B46"/>
    <w:rsid w:val="00E14CAF"/>
    <w:rsid w:val="00E14EAF"/>
    <w:rsid w:val="00E1524E"/>
    <w:rsid w:val="00E16125"/>
    <w:rsid w:val="00E1703A"/>
    <w:rsid w:val="00E221CB"/>
    <w:rsid w:val="00E232BA"/>
    <w:rsid w:val="00E31FF3"/>
    <w:rsid w:val="00E32546"/>
    <w:rsid w:val="00E34350"/>
    <w:rsid w:val="00E34DDD"/>
    <w:rsid w:val="00E37F99"/>
    <w:rsid w:val="00E4105F"/>
    <w:rsid w:val="00E44939"/>
    <w:rsid w:val="00E502BE"/>
    <w:rsid w:val="00E50D2E"/>
    <w:rsid w:val="00E55ADA"/>
    <w:rsid w:val="00E66A2F"/>
    <w:rsid w:val="00E66FBE"/>
    <w:rsid w:val="00E703BC"/>
    <w:rsid w:val="00E70E0A"/>
    <w:rsid w:val="00E754BA"/>
    <w:rsid w:val="00E83786"/>
    <w:rsid w:val="00E839B6"/>
    <w:rsid w:val="00E857A0"/>
    <w:rsid w:val="00E86245"/>
    <w:rsid w:val="00E86EF8"/>
    <w:rsid w:val="00E96078"/>
    <w:rsid w:val="00EA1D27"/>
    <w:rsid w:val="00EA362B"/>
    <w:rsid w:val="00EA69D8"/>
    <w:rsid w:val="00EB2066"/>
    <w:rsid w:val="00EB2DB6"/>
    <w:rsid w:val="00EB3D6D"/>
    <w:rsid w:val="00EB5206"/>
    <w:rsid w:val="00EB61AA"/>
    <w:rsid w:val="00EB6E47"/>
    <w:rsid w:val="00EC605F"/>
    <w:rsid w:val="00EC7716"/>
    <w:rsid w:val="00EC7D40"/>
    <w:rsid w:val="00ED5719"/>
    <w:rsid w:val="00EE02A8"/>
    <w:rsid w:val="00EE0CEE"/>
    <w:rsid w:val="00EE2E5D"/>
    <w:rsid w:val="00EE327E"/>
    <w:rsid w:val="00EE399D"/>
    <w:rsid w:val="00F04AB6"/>
    <w:rsid w:val="00F04CC8"/>
    <w:rsid w:val="00F05D20"/>
    <w:rsid w:val="00F06CA6"/>
    <w:rsid w:val="00F070C8"/>
    <w:rsid w:val="00F10BEA"/>
    <w:rsid w:val="00F11FB7"/>
    <w:rsid w:val="00F12053"/>
    <w:rsid w:val="00F15598"/>
    <w:rsid w:val="00F15608"/>
    <w:rsid w:val="00F171FA"/>
    <w:rsid w:val="00F21485"/>
    <w:rsid w:val="00F2672F"/>
    <w:rsid w:val="00F26ECA"/>
    <w:rsid w:val="00F42FC9"/>
    <w:rsid w:val="00F43E15"/>
    <w:rsid w:val="00F46091"/>
    <w:rsid w:val="00F470DA"/>
    <w:rsid w:val="00F51551"/>
    <w:rsid w:val="00F53EF3"/>
    <w:rsid w:val="00F56225"/>
    <w:rsid w:val="00F56733"/>
    <w:rsid w:val="00F64B12"/>
    <w:rsid w:val="00F6560A"/>
    <w:rsid w:val="00F769F4"/>
    <w:rsid w:val="00F76D3C"/>
    <w:rsid w:val="00F85C6E"/>
    <w:rsid w:val="00F877CF"/>
    <w:rsid w:val="00F92012"/>
    <w:rsid w:val="00F95FF1"/>
    <w:rsid w:val="00FA047D"/>
    <w:rsid w:val="00FA3FE1"/>
    <w:rsid w:val="00FA70AD"/>
    <w:rsid w:val="00FB07EA"/>
    <w:rsid w:val="00FB08F4"/>
    <w:rsid w:val="00FB7CF6"/>
    <w:rsid w:val="00FC28B8"/>
    <w:rsid w:val="00FC3BD9"/>
    <w:rsid w:val="00FC52CE"/>
    <w:rsid w:val="00FD605D"/>
    <w:rsid w:val="00FD7E3A"/>
    <w:rsid w:val="00FE489C"/>
    <w:rsid w:val="00FE5709"/>
    <w:rsid w:val="00FE58F4"/>
    <w:rsid w:val="00FF6126"/>
    <w:rsid w:val="00FF6AFD"/>
    <w:rsid w:val="00FF7201"/>
    <w:rsid w:val="01218553"/>
    <w:rsid w:val="03EA352F"/>
    <w:rsid w:val="04C8F49C"/>
    <w:rsid w:val="04DAD14F"/>
    <w:rsid w:val="05E57359"/>
    <w:rsid w:val="08169F18"/>
    <w:rsid w:val="08632B09"/>
    <w:rsid w:val="0A5B2E8F"/>
    <w:rsid w:val="0C14FFE5"/>
    <w:rsid w:val="0C6B765D"/>
    <w:rsid w:val="0CAFB4AC"/>
    <w:rsid w:val="0D6CB385"/>
    <w:rsid w:val="0F303481"/>
    <w:rsid w:val="1029E591"/>
    <w:rsid w:val="104EADE2"/>
    <w:rsid w:val="107E01C1"/>
    <w:rsid w:val="135B8DDF"/>
    <w:rsid w:val="13A9DFA0"/>
    <w:rsid w:val="13C38263"/>
    <w:rsid w:val="14B0EFBB"/>
    <w:rsid w:val="15EA69A9"/>
    <w:rsid w:val="16F4969C"/>
    <w:rsid w:val="18B7C85F"/>
    <w:rsid w:val="19AB2394"/>
    <w:rsid w:val="19D09D5A"/>
    <w:rsid w:val="1A9CCCCD"/>
    <w:rsid w:val="1B870B38"/>
    <w:rsid w:val="1D94CBDF"/>
    <w:rsid w:val="1DA3166F"/>
    <w:rsid w:val="1F667FB9"/>
    <w:rsid w:val="20BBDA29"/>
    <w:rsid w:val="22209D0C"/>
    <w:rsid w:val="2325D232"/>
    <w:rsid w:val="24C42F6A"/>
    <w:rsid w:val="255D69C1"/>
    <w:rsid w:val="268335C7"/>
    <w:rsid w:val="26E1B465"/>
    <w:rsid w:val="27C8E8CD"/>
    <w:rsid w:val="2AD1B891"/>
    <w:rsid w:val="2BAE6441"/>
    <w:rsid w:val="2C0CD6FA"/>
    <w:rsid w:val="2C689778"/>
    <w:rsid w:val="2C6DA1C6"/>
    <w:rsid w:val="2C727CA3"/>
    <w:rsid w:val="2D57EB93"/>
    <w:rsid w:val="30B26770"/>
    <w:rsid w:val="3163D96A"/>
    <w:rsid w:val="35B673CF"/>
    <w:rsid w:val="362B890D"/>
    <w:rsid w:val="37E3CEC6"/>
    <w:rsid w:val="3B76EC68"/>
    <w:rsid w:val="3DD59CAE"/>
    <w:rsid w:val="3E6D9959"/>
    <w:rsid w:val="3F102753"/>
    <w:rsid w:val="3F7FE237"/>
    <w:rsid w:val="40445201"/>
    <w:rsid w:val="40B8C339"/>
    <w:rsid w:val="424E85D1"/>
    <w:rsid w:val="426CCC4D"/>
    <w:rsid w:val="4426E623"/>
    <w:rsid w:val="4496C97A"/>
    <w:rsid w:val="4749BBA3"/>
    <w:rsid w:val="47DF5D55"/>
    <w:rsid w:val="47F19E3F"/>
    <w:rsid w:val="4837D39E"/>
    <w:rsid w:val="484E5A9E"/>
    <w:rsid w:val="48518AB8"/>
    <w:rsid w:val="48B67122"/>
    <w:rsid w:val="4938D1CD"/>
    <w:rsid w:val="4C1251D3"/>
    <w:rsid w:val="4CEDC962"/>
    <w:rsid w:val="4D8AEE97"/>
    <w:rsid w:val="5104B83A"/>
    <w:rsid w:val="512C0DAE"/>
    <w:rsid w:val="5167C632"/>
    <w:rsid w:val="53D2586C"/>
    <w:rsid w:val="56FC51D1"/>
    <w:rsid w:val="57675034"/>
    <w:rsid w:val="5A0BD359"/>
    <w:rsid w:val="5AEC6C65"/>
    <w:rsid w:val="5B369784"/>
    <w:rsid w:val="5BC9B3C0"/>
    <w:rsid w:val="5C31C641"/>
    <w:rsid w:val="5CAD0385"/>
    <w:rsid w:val="5CD7F979"/>
    <w:rsid w:val="5E4D6B63"/>
    <w:rsid w:val="5FAF8379"/>
    <w:rsid w:val="621AB0AC"/>
    <w:rsid w:val="62E7B030"/>
    <w:rsid w:val="673D1E2A"/>
    <w:rsid w:val="692C47C5"/>
    <w:rsid w:val="6AF0F922"/>
    <w:rsid w:val="6B5225B6"/>
    <w:rsid w:val="6B9E0237"/>
    <w:rsid w:val="6DC2A54D"/>
    <w:rsid w:val="70EF7AF5"/>
    <w:rsid w:val="735B7BC8"/>
    <w:rsid w:val="73A0ACCB"/>
    <w:rsid w:val="74FAE01F"/>
    <w:rsid w:val="75ECDE07"/>
    <w:rsid w:val="782695C6"/>
    <w:rsid w:val="78FF1E9F"/>
    <w:rsid w:val="7D145E05"/>
    <w:rsid w:val="7E14ECAC"/>
    <w:rsid w:val="7F07C71E"/>
    <w:rsid w:val="7F836A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6EEF2"/>
  <w15:chartTrackingRefBased/>
  <w15:docId w15:val="{886FC083-A906-4AC5-BDD6-80425CF2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F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F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F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F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F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F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F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F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F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F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F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F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F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F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F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F68"/>
    <w:rPr>
      <w:rFonts w:eastAsiaTheme="majorEastAsia" w:cstheme="majorBidi"/>
      <w:color w:val="272727" w:themeColor="text1" w:themeTint="D8"/>
    </w:rPr>
  </w:style>
  <w:style w:type="paragraph" w:styleId="Title">
    <w:name w:val="Title"/>
    <w:basedOn w:val="Normal"/>
    <w:next w:val="Normal"/>
    <w:link w:val="TitleChar"/>
    <w:uiPriority w:val="10"/>
    <w:qFormat/>
    <w:rsid w:val="00874F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F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F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F68"/>
    <w:pPr>
      <w:spacing w:before="160"/>
      <w:jc w:val="center"/>
    </w:pPr>
    <w:rPr>
      <w:i/>
      <w:iCs/>
      <w:color w:val="404040" w:themeColor="text1" w:themeTint="BF"/>
    </w:rPr>
  </w:style>
  <w:style w:type="character" w:customStyle="1" w:styleId="QuoteChar">
    <w:name w:val="Quote Char"/>
    <w:basedOn w:val="DefaultParagraphFont"/>
    <w:link w:val="Quote"/>
    <w:uiPriority w:val="29"/>
    <w:rsid w:val="00874F68"/>
    <w:rPr>
      <w:i/>
      <w:iCs/>
      <w:color w:val="404040" w:themeColor="text1" w:themeTint="BF"/>
    </w:rPr>
  </w:style>
  <w:style w:type="paragraph" w:styleId="ListParagraph">
    <w:name w:val="List Paragraph"/>
    <w:basedOn w:val="Normal"/>
    <w:uiPriority w:val="34"/>
    <w:qFormat/>
    <w:rsid w:val="00874F68"/>
    <w:pPr>
      <w:ind w:left="720"/>
      <w:contextualSpacing/>
    </w:pPr>
  </w:style>
  <w:style w:type="character" w:styleId="IntenseEmphasis">
    <w:name w:val="Intense Emphasis"/>
    <w:basedOn w:val="DefaultParagraphFont"/>
    <w:uiPriority w:val="21"/>
    <w:qFormat/>
    <w:rsid w:val="00874F68"/>
    <w:rPr>
      <w:i/>
      <w:iCs/>
      <w:color w:val="0F4761" w:themeColor="accent1" w:themeShade="BF"/>
    </w:rPr>
  </w:style>
  <w:style w:type="paragraph" w:styleId="IntenseQuote">
    <w:name w:val="Intense Quote"/>
    <w:basedOn w:val="Normal"/>
    <w:next w:val="Normal"/>
    <w:link w:val="IntenseQuoteChar"/>
    <w:uiPriority w:val="30"/>
    <w:qFormat/>
    <w:rsid w:val="00874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F68"/>
    <w:rPr>
      <w:i/>
      <w:iCs/>
      <w:color w:val="0F4761" w:themeColor="accent1" w:themeShade="BF"/>
    </w:rPr>
  </w:style>
  <w:style w:type="character" w:styleId="IntenseReference">
    <w:name w:val="Intense Reference"/>
    <w:basedOn w:val="DefaultParagraphFont"/>
    <w:uiPriority w:val="32"/>
    <w:qFormat/>
    <w:rsid w:val="00874F68"/>
    <w:rPr>
      <w:b/>
      <w:bCs/>
      <w:smallCaps/>
      <w:color w:val="0F4761" w:themeColor="accent1" w:themeShade="BF"/>
      <w:spacing w:val="5"/>
    </w:rPr>
  </w:style>
  <w:style w:type="table" w:styleId="TableGrid">
    <w:name w:val="Table Grid"/>
    <w:basedOn w:val="TableNormal"/>
    <w:uiPriority w:val="39"/>
    <w:rsid w:val="00874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6173"/>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styleId="Revision">
    <w:name w:val="Revision"/>
    <w:hidden/>
    <w:uiPriority w:val="99"/>
    <w:semiHidden/>
    <w:rsid w:val="0010190C"/>
    <w:pPr>
      <w:spacing w:after="0" w:line="240" w:lineRule="auto"/>
    </w:pPr>
  </w:style>
  <w:style w:type="character" w:styleId="CommentReference">
    <w:name w:val="annotation reference"/>
    <w:basedOn w:val="DefaultParagraphFont"/>
    <w:uiPriority w:val="99"/>
    <w:unhideWhenUsed/>
    <w:rsid w:val="00423E6D"/>
    <w:rPr>
      <w:sz w:val="16"/>
      <w:szCs w:val="16"/>
    </w:rPr>
  </w:style>
  <w:style w:type="paragraph" w:styleId="CommentText">
    <w:name w:val="annotation text"/>
    <w:basedOn w:val="Normal"/>
    <w:link w:val="CommentTextChar"/>
    <w:uiPriority w:val="99"/>
    <w:unhideWhenUsed/>
    <w:rsid w:val="00423E6D"/>
    <w:pPr>
      <w:spacing w:line="240" w:lineRule="auto"/>
    </w:pPr>
    <w:rPr>
      <w:sz w:val="20"/>
      <w:szCs w:val="20"/>
    </w:rPr>
  </w:style>
  <w:style w:type="character" w:customStyle="1" w:styleId="CommentTextChar">
    <w:name w:val="Comment Text Char"/>
    <w:basedOn w:val="DefaultParagraphFont"/>
    <w:link w:val="CommentText"/>
    <w:uiPriority w:val="99"/>
    <w:rsid w:val="00423E6D"/>
    <w:rPr>
      <w:sz w:val="20"/>
      <w:szCs w:val="20"/>
    </w:rPr>
  </w:style>
  <w:style w:type="paragraph" w:styleId="CommentSubject">
    <w:name w:val="annotation subject"/>
    <w:basedOn w:val="CommentText"/>
    <w:next w:val="CommentText"/>
    <w:link w:val="CommentSubjectChar"/>
    <w:uiPriority w:val="99"/>
    <w:semiHidden/>
    <w:unhideWhenUsed/>
    <w:rsid w:val="00423E6D"/>
    <w:rPr>
      <w:b/>
      <w:bCs/>
    </w:rPr>
  </w:style>
  <w:style w:type="character" w:customStyle="1" w:styleId="CommentSubjectChar">
    <w:name w:val="Comment Subject Char"/>
    <w:basedOn w:val="CommentTextChar"/>
    <w:link w:val="CommentSubject"/>
    <w:uiPriority w:val="99"/>
    <w:semiHidden/>
    <w:rsid w:val="00423E6D"/>
    <w:rPr>
      <w:b/>
      <w:bCs/>
      <w:sz w:val="20"/>
      <w:szCs w:val="20"/>
    </w:rPr>
  </w:style>
  <w:style w:type="paragraph" w:customStyle="1" w:styleId="TableText">
    <w:name w:val="Table Text"/>
    <w:basedOn w:val="Normal"/>
    <w:link w:val="TableTextChar"/>
    <w:qFormat/>
    <w:rsid w:val="00423E6D"/>
    <w:pPr>
      <w:spacing w:before="60" w:after="60" w:line="240" w:lineRule="auto"/>
    </w:pPr>
    <w:rPr>
      <w:rFonts w:eastAsia="Arial" w:cstheme="minorHAnsi"/>
      <w:kern w:val="0"/>
      <w:sz w:val="20"/>
      <w:szCs w:val="20"/>
      <w:lang w:eastAsia="en-NZ"/>
      <w14:ligatures w14:val="none"/>
    </w:rPr>
  </w:style>
  <w:style w:type="character" w:customStyle="1" w:styleId="TableTextChar">
    <w:name w:val="Table Text Char"/>
    <w:basedOn w:val="DefaultParagraphFont"/>
    <w:link w:val="TableText"/>
    <w:rsid w:val="00423E6D"/>
    <w:rPr>
      <w:rFonts w:eastAsia="Arial" w:cstheme="minorHAnsi"/>
      <w:kern w:val="0"/>
      <w:sz w:val="20"/>
      <w:szCs w:val="20"/>
      <w:lang w:eastAsia="en-NZ"/>
      <w14:ligatures w14:val="none"/>
    </w:rPr>
  </w:style>
  <w:style w:type="paragraph" w:customStyle="1" w:styleId="Bullets1">
    <w:name w:val="Bullets 1"/>
    <w:basedOn w:val="ListParagraph"/>
    <w:qFormat/>
    <w:rsid w:val="00423E6D"/>
    <w:pPr>
      <w:numPr>
        <w:numId w:val="13"/>
      </w:numPr>
      <w:spacing w:before="60" w:after="60" w:line="240" w:lineRule="auto"/>
      <w:contextualSpacing w:val="0"/>
    </w:pPr>
    <w:rPr>
      <w:rFonts w:cstheme="minorHAnsi"/>
      <w:noProof/>
      <w:kern w:val="0"/>
      <w:lang w:val="en-GB"/>
      <w14:ligatures w14:val="none"/>
    </w:rPr>
  </w:style>
  <w:style w:type="paragraph" w:customStyle="1" w:styleId="Normal-withoutindent">
    <w:name w:val="Normal - without indent"/>
    <w:basedOn w:val="Normal"/>
    <w:qFormat/>
    <w:rsid w:val="00423E6D"/>
    <w:pPr>
      <w:spacing w:before="120" w:after="120" w:line="240" w:lineRule="auto"/>
      <w:jc w:val="both"/>
    </w:pPr>
    <w:rPr>
      <w:rFonts w:ascii="Calibri" w:eastAsia="Times New Roman" w:hAnsi="Calibri" w:cs="Times New Roman"/>
      <w:kern w:val="0"/>
      <w:szCs w:val="20"/>
      <w14:ligatures w14:val="none"/>
    </w:rPr>
  </w:style>
  <w:style w:type="character" w:styleId="Hyperlink">
    <w:name w:val="Hyperlink"/>
    <w:basedOn w:val="DefaultParagraphFont"/>
    <w:uiPriority w:val="99"/>
    <w:unhideWhenUsed/>
    <w:rsid w:val="004D417B"/>
    <w:rPr>
      <w:color w:val="467886" w:themeColor="hyperlink"/>
      <w:u w:val="single"/>
    </w:rPr>
  </w:style>
  <w:style w:type="character" w:styleId="Mention">
    <w:name w:val="Mention"/>
    <w:basedOn w:val="DefaultParagraphFont"/>
    <w:uiPriority w:val="99"/>
    <w:unhideWhenUsed/>
    <w:rsid w:val="00EB2DB6"/>
    <w:rPr>
      <w:color w:val="2B579A"/>
      <w:shd w:val="clear" w:color="auto" w:fill="E1DFDD"/>
    </w:rPr>
  </w:style>
  <w:style w:type="character" w:styleId="UnresolvedMention">
    <w:name w:val="Unresolved Mention"/>
    <w:basedOn w:val="DefaultParagraphFont"/>
    <w:uiPriority w:val="99"/>
    <w:semiHidden/>
    <w:unhideWhenUsed/>
    <w:rsid w:val="001149F5"/>
    <w:rPr>
      <w:color w:val="605E5C"/>
      <w:shd w:val="clear" w:color="auto" w:fill="E1DFDD"/>
    </w:rPr>
  </w:style>
  <w:style w:type="character" w:styleId="FollowedHyperlink">
    <w:name w:val="FollowedHyperlink"/>
    <w:basedOn w:val="DefaultParagraphFont"/>
    <w:uiPriority w:val="99"/>
    <w:semiHidden/>
    <w:unhideWhenUsed/>
    <w:rsid w:val="00BF16B5"/>
    <w:rPr>
      <w:color w:val="96607D" w:themeColor="followedHyperlink"/>
      <w:u w:val="single"/>
    </w:rPr>
  </w:style>
  <w:style w:type="paragraph" w:styleId="Header">
    <w:name w:val="header"/>
    <w:basedOn w:val="Normal"/>
    <w:link w:val="HeaderChar"/>
    <w:uiPriority w:val="99"/>
    <w:unhideWhenUsed/>
    <w:rsid w:val="00305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FAB"/>
  </w:style>
  <w:style w:type="paragraph" w:styleId="Footer">
    <w:name w:val="footer"/>
    <w:basedOn w:val="Normal"/>
    <w:link w:val="FooterChar"/>
    <w:uiPriority w:val="99"/>
    <w:unhideWhenUsed/>
    <w:rsid w:val="00305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9470">
      <w:bodyDiv w:val="1"/>
      <w:marLeft w:val="0"/>
      <w:marRight w:val="0"/>
      <w:marTop w:val="0"/>
      <w:marBottom w:val="0"/>
      <w:divBdr>
        <w:top w:val="none" w:sz="0" w:space="0" w:color="auto"/>
        <w:left w:val="none" w:sz="0" w:space="0" w:color="auto"/>
        <w:bottom w:val="none" w:sz="0" w:space="0" w:color="auto"/>
        <w:right w:val="none" w:sz="0" w:space="0" w:color="auto"/>
      </w:divBdr>
    </w:div>
    <w:div w:id="289632258">
      <w:bodyDiv w:val="1"/>
      <w:marLeft w:val="0"/>
      <w:marRight w:val="0"/>
      <w:marTop w:val="0"/>
      <w:marBottom w:val="0"/>
      <w:divBdr>
        <w:top w:val="none" w:sz="0" w:space="0" w:color="auto"/>
        <w:left w:val="none" w:sz="0" w:space="0" w:color="auto"/>
        <w:bottom w:val="none" w:sz="0" w:space="0" w:color="auto"/>
        <w:right w:val="none" w:sz="0" w:space="0" w:color="auto"/>
      </w:divBdr>
    </w:div>
    <w:div w:id="350648939">
      <w:bodyDiv w:val="1"/>
      <w:marLeft w:val="0"/>
      <w:marRight w:val="0"/>
      <w:marTop w:val="0"/>
      <w:marBottom w:val="0"/>
      <w:divBdr>
        <w:top w:val="none" w:sz="0" w:space="0" w:color="auto"/>
        <w:left w:val="none" w:sz="0" w:space="0" w:color="auto"/>
        <w:bottom w:val="none" w:sz="0" w:space="0" w:color="auto"/>
        <w:right w:val="none" w:sz="0" w:space="0" w:color="auto"/>
      </w:divBdr>
    </w:div>
    <w:div w:id="366876783">
      <w:bodyDiv w:val="1"/>
      <w:marLeft w:val="0"/>
      <w:marRight w:val="0"/>
      <w:marTop w:val="0"/>
      <w:marBottom w:val="0"/>
      <w:divBdr>
        <w:top w:val="none" w:sz="0" w:space="0" w:color="auto"/>
        <w:left w:val="none" w:sz="0" w:space="0" w:color="auto"/>
        <w:bottom w:val="none" w:sz="0" w:space="0" w:color="auto"/>
        <w:right w:val="none" w:sz="0" w:space="0" w:color="auto"/>
      </w:divBdr>
    </w:div>
    <w:div w:id="786775906">
      <w:bodyDiv w:val="1"/>
      <w:marLeft w:val="0"/>
      <w:marRight w:val="0"/>
      <w:marTop w:val="0"/>
      <w:marBottom w:val="0"/>
      <w:divBdr>
        <w:top w:val="none" w:sz="0" w:space="0" w:color="auto"/>
        <w:left w:val="none" w:sz="0" w:space="0" w:color="auto"/>
        <w:bottom w:val="none" w:sz="0" w:space="0" w:color="auto"/>
        <w:right w:val="none" w:sz="0" w:space="0" w:color="auto"/>
      </w:divBdr>
    </w:div>
    <w:div w:id="912393388">
      <w:bodyDiv w:val="1"/>
      <w:marLeft w:val="0"/>
      <w:marRight w:val="0"/>
      <w:marTop w:val="0"/>
      <w:marBottom w:val="0"/>
      <w:divBdr>
        <w:top w:val="none" w:sz="0" w:space="0" w:color="auto"/>
        <w:left w:val="none" w:sz="0" w:space="0" w:color="auto"/>
        <w:bottom w:val="none" w:sz="0" w:space="0" w:color="auto"/>
        <w:right w:val="none" w:sz="0" w:space="0" w:color="auto"/>
      </w:divBdr>
    </w:div>
    <w:div w:id="1025054166">
      <w:bodyDiv w:val="1"/>
      <w:marLeft w:val="0"/>
      <w:marRight w:val="0"/>
      <w:marTop w:val="0"/>
      <w:marBottom w:val="0"/>
      <w:divBdr>
        <w:top w:val="none" w:sz="0" w:space="0" w:color="auto"/>
        <w:left w:val="none" w:sz="0" w:space="0" w:color="auto"/>
        <w:bottom w:val="none" w:sz="0" w:space="0" w:color="auto"/>
        <w:right w:val="none" w:sz="0" w:space="0" w:color="auto"/>
      </w:divBdr>
    </w:div>
    <w:div w:id="1192302281">
      <w:bodyDiv w:val="1"/>
      <w:marLeft w:val="0"/>
      <w:marRight w:val="0"/>
      <w:marTop w:val="0"/>
      <w:marBottom w:val="0"/>
      <w:divBdr>
        <w:top w:val="none" w:sz="0" w:space="0" w:color="auto"/>
        <w:left w:val="none" w:sz="0" w:space="0" w:color="auto"/>
        <w:bottom w:val="none" w:sz="0" w:space="0" w:color="auto"/>
        <w:right w:val="none" w:sz="0" w:space="0" w:color="auto"/>
      </w:divBdr>
    </w:div>
    <w:div w:id="1371765981">
      <w:bodyDiv w:val="1"/>
      <w:marLeft w:val="0"/>
      <w:marRight w:val="0"/>
      <w:marTop w:val="0"/>
      <w:marBottom w:val="0"/>
      <w:divBdr>
        <w:top w:val="none" w:sz="0" w:space="0" w:color="auto"/>
        <w:left w:val="none" w:sz="0" w:space="0" w:color="auto"/>
        <w:bottom w:val="none" w:sz="0" w:space="0" w:color="auto"/>
        <w:right w:val="none" w:sz="0" w:space="0" w:color="auto"/>
      </w:divBdr>
    </w:div>
    <w:div w:id="1439720704">
      <w:bodyDiv w:val="1"/>
      <w:marLeft w:val="0"/>
      <w:marRight w:val="0"/>
      <w:marTop w:val="0"/>
      <w:marBottom w:val="0"/>
      <w:divBdr>
        <w:top w:val="none" w:sz="0" w:space="0" w:color="auto"/>
        <w:left w:val="none" w:sz="0" w:space="0" w:color="auto"/>
        <w:bottom w:val="none" w:sz="0" w:space="0" w:color="auto"/>
        <w:right w:val="none" w:sz="0" w:space="0" w:color="auto"/>
      </w:divBdr>
    </w:div>
    <w:div w:id="1531257286">
      <w:bodyDiv w:val="1"/>
      <w:marLeft w:val="0"/>
      <w:marRight w:val="0"/>
      <w:marTop w:val="0"/>
      <w:marBottom w:val="0"/>
      <w:divBdr>
        <w:top w:val="none" w:sz="0" w:space="0" w:color="auto"/>
        <w:left w:val="none" w:sz="0" w:space="0" w:color="auto"/>
        <w:bottom w:val="none" w:sz="0" w:space="0" w:color="auto"/>
        <w:right w:val="none" w:sz="0" w:space="0" w:color="auto"/>
      </w:divBdr>
    </w:div>
    <w:div w:id="1771583766">
      <w:bodyDiv w:val="1"/>
      <w:marLeft w:val="0"/>
      <w:marRight w:val="0"/>
      <w:marTop w:val="0"/>
      <w:marBottom w:val="0"/>
      <w:divBdr>
        <w:top w:val="none" w:sz="0" w:space="0" w:color="auto"/>
        <w:left w:val="none" w:sz="0" w:space="0" w:color="auto"/>
        <w:bottom w:val="none" w:sz="0" w:space="0" w:color="auto"/>
        <w:right w:val="none" w:sz="0" w:space="0" w:color="auto"/>
      </w:divBdr>
    </w:div>
    <w:div w:id="1897819723">
      <w:bodyDiv w:val="1"/>
      <w:marLeft w:val="0"/>
      <w:marRight w:val="0"/>
      <w:marTop w:val="0"/>
      <w:marBottom w:val="0"/>
      <w:divBdr>
        <w:top w:val="none" w:sz="0" w:space="0" w:color="auto"/>
        <w:left w:val="none" w:sz="0" w:space="0" w:color="auto"/>
        <w:bottom w:val="none" w:sz="0" w:space="0" w:color="auto"/>
        <w:right w:val="none" w:sz="0" w:space="0" w:color="auto"/>
      </w:divBdr>
    </w:div>
    <w:div w:id="1917350926">
      <w:bodyDiv w:val="1"/>
      <w:marLeft w:val="0"/>
      <w:marRight w:val="0"/>
      <w:marTop w:val="0"/>
      <w:marBottom w:val="0"/>
      <w:divBdr>
        <w:top w:val="none" w:sz="0" w:space="0" w:color="auto"/>
        <w:left w:val="none" w:sz="0" w:space="0" w:color="auto"/>
        <w:bottom w:val="none" w:sz="0" w:space="0" w:color="auto"/>
        <w:right w:val="none" w:sz="0" w:space="0" w:color="auto"/>
      </w:divBdr>
    </w:div>
    <w:div w:id="1964724679">
      <w:bodyDiv w:val="1"/>
      <w:marLeft w:val="0"/>
      <w:marRight w:val="0"/>
      <w:marTop w:val="0"/>
      <w:marBottom w:val="0"/>
      <w:divBdr>
        <w:top w:val="none" w:sz="0" w:space="0" w:color="auto"/>
        <w:left w:val="none" w:sz="0" w:space="0" w:color="auto"/>
        <w:bottom w:val="none" w:sz="0" w:space="0" w:color="auto"/>
        <w:right w:val="none" w:sz="0" w:space="0" w:color="auto"/>
      </w:divBdr>
    </w:div>
    <w:div w:id="2106687160">
      <w:bodyDiv w:val="1"/>
      <w:marLeft w:val="0"/>
      <w:marRight w:val="0"/>
      <w:marTop w:val="0"/>
      <w:marBottom w:val="0"/>
      <w:divBdr>
        <w:top w:val="none" w:sz="0" w:space="0" w:color="auto"/>
        <w:left w:val="none" w:sz="0" w:space="0" w:color="auto"/>
        <w:bottom w:val="none" w:sz="0" w:space="0" w:color="auto"/>
        <w:right w:val="none" w:sz="0" w:space="0" w:color="auto"/>
      </w:divBdr>
    </w:div>
    <w:div w:id="21113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pi-docs.prd.dxs.pub.tec.govt.nz/api/work-bas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Links>
    <vt:vector size="6" baseType="variant">
      <vt:variant>
        <vt:i4>3604587</vt:i4>
      </vt:variant>
      <vt:variant>
        <vt:i4>0</vt:i4>
      </vt:variant>
      <vt:variant>
        <vt:i4>0</vt:i4>
      </vt:variant>
      <vt:variant>
        <vt:i4>5</vt:i4>
      </vt:variant>
      <vt:variant>
        <vt:lpwstr>https://api-docs.prd.dxs.pub.tec.govt.nz/api/work-based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Caren Wilton</cp:lastModifiedBy>
  <cp:revision>2</cp:revision>
  <dcterms:created xsi:type="dcterms:W3CDTF">2025-06-25T21:41:00Z</dcterms:created>
  <dcterms:modified xsi:type="dcterms:W3CDTF">2025-06-25T22:00:00Z</dcterms:modified>
</cp:coreProperties>
</file>