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E" w:rsidRDefault="0027667E" w:rsidP="0027667E">
      <w:pPr>
        <w:pStyle w:val="Heading2"/>
      </w:pPr>
      <w:r>
        <w:t xml:space="preserve">Deirdre Marshall – </w:t>
      </w:r>
      <w:r w:rsidR="00AF0762">
        <w:t>‘Find out</w:t>
      </w:r>
      <w:r>
        <w:t xml:space="preserve"> more about </w:t>
      </w:r>
      <w:proofErr w:type="spellStart"/>
      <w:r>
        <w:t>CoVEs’</w:t>
      </w:r>
      <w:proofErr w:type="spellEnd"/>
      <w:r>
        <w:t xml:space="preserve"> video</w:t>
      </w:r>
    </w:p>
    <w:p w:rsidR="0027667E" w:rsidRDefault="0027667E" w:rsidP="0027667E">
      <w:pPr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Welcome everyone. I’m Deirdre Marshall from the Reform of Vocational Education or </w:t>
      </w:r>
      <w:proofErr w:type="spellStart"/>
      <w:r>
        <w:rPr>
          <w:color w:val="1F497D"/>
        </w:rPr>
        <w:t>RoVE</w:t>
      </w:r>
      <w:proofErr w:type="spellEnd"/>
      <w:r>
        <w:rPr>
          <w:color w:val="1F497D"/>
        </w:rPr>
        <w:t xml:space="preserve"> team, here at TEC. In this video series, we will look at some of the key parts of the new vocational education </w:t>
      </w:r>
      <w:r w:rsidR="00AF0762">
        <w:rPr>
          <w:color w:val="1F497D"/>
        </w:rPr>
        <w:t>system that</w:t>
      </w:r>
      <w:r>
        <w:rPr>
          <w:color w:val="1F497D"/>
        </w:rPr>
        <w:t xml:space="preserve"> will be created through </w:t>
      </w:r>
      <w:proofErr w:type="spellStart"/>
      <w:r>
        <w:rPr>
          <w:color w:val="1F497D"/>
        </w:rPr>
        <w:t>RoVE</w:t>
      </w:r>
      <w:proofErr w:type="spellEnd"/>
      <w:r>
        <w:rPr>
          <w:color w:val="1F497D"/>
        </w:rPr>
        <w:t>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Today, I’ll be talking to you about Centres of Vocational Excellence or </w:t>
      </w:r>
      <w:proofErr w:type="spellStart"/>
      <w:r>
        <w:rPr>
          <w:color w:val="1F497D"/>
        </w:rPr>
        <w:t>CoVEs</w:t>
      </w:r>
      <w:proofErr w:type="spellEnd"/>
      <w:r>
        <w:rPr>
          <w:color w:val="1F497D"/>
        </w:rPr>
        <w:t>.</w:t>
      </w:r>
    </w:p>
    <w:p w:rsidR="0027667E" w:rsidRDefault="0027667E" w:rsidP="00AF0762">
      <w:pPr>
        <w:jc w:val="both"/>
        <w:rPr>
          <w:color w:val="1F497D"/>
        </w:rPr>
      </w:pPr>
      <w:bookmarkStart w:id="0" w:name="_GoBack"/>
      <w:bookmarkEnd w:id="0"/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Firstly, a little background about </w:t>
      </w:r>
      <w:proofErr w:type="spellStart"/>
      <w:r>
        <w:rPr>
          <w:color w:val="1F497D"/>
        </w:rPr>
        <w:t>RoVE</w:t>
      </w:r>
      <w:proofErr w:type="spellEnd"/>
      <w:r>
        <w:rPr>
          <w:color w:val="1F497D"/>
        </w:rPr>
        <w:t>:</w:t>
      </w: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Education Minister Chris </w:t>
      </w:r>
      <w:proofErr w:type="spellStart"/>
      <w:r>
        <w:rPr>
          <w:color w:val="1F497D"/>
        </w:rPr>
        <w:t>Hipkins</w:t>
      </w:r>
      <w:proofErr w:type="spellEnd"/>
      <w:r>
        <w:rPr>
          <w:color w:val="1F497D"/>
        </w:rPr>
        <w:t xml:space="preserve"> announced the Reform of Vocational Education on 1 August 2019</w:t>
      </w:r>
      <w:r w:rsidR="00AF0762">
        <w:rPr>
          <w:color w:val="1F497D"/>
        </w:rPr>
        <w:t xml:space="preserve"> </w:t>
      </w:r>
      <w:r>
        <w:rPr>
          <w:color w:val="1F497D"/>
        </w:rPr>
        <w:t>and it is the biggest change to New Zealand’s vocational education system in a generation.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proofErr w:type="spellStart"/>
      <w:r>
        <w:rPr>
          <w:color w:val="1F497D"/>
        </w:rPr>
        <w:t>RoVE</w:t>
      </w:r>
      <w:proofErr w:type="spellEnd"/>
      <w:r>
        <w:rPr>
          <w:color w:val="1F497D"/>
        </w:rPr>
        <w:t xml:space="preserve"> will create a strong, unified, sustainable vocational education system that is fit for the future of work and delivers the skills that learners, employers and communities need to thrive. Centres of Vocational Excellence have a key role to play in this new system so it’s important to understand their role and function.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So, what are </w:t>
      </w:r>
      <w:proofErr w:type="spellStart"/>
      <w:r>
        <w:rPr>
          <w:color w:val="1F497D"/>
        </w:rPr>
        <w:t>CoVEs</w:t>
      </w:r>
      <w:proofErr w:type="spellEnd"/>
      <w:r>
        <w:rPr>
          <w:color w:val="1F497D"/>
        </w:rPr>
        <w:t>?</w:t>
      </w: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The role of each </w:t>
      </w:r>
      <w:proofErr w:type="spellStart"/>
      <w:r>
        <w:rPr>
          <w:color w:val="1F497D"/>
        </w:rPr>
        <w:t>CoVE</w:t>
      </w:r>
      <w:proofErr w:type="spellEnd"/>
      <w:r>
        <w:rPr>
          <w:color w:val="1F497D"/>
        </w:rPr>
        <w:t xml:space="preserve"> will be to drive innovation and excellence in vocational education, by strengthening the links between industry and communities.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Each </w:t>
      </w:r>
      <w:proofErr w:type="spellStart"/>
      <w:r>
        <w:rPr>
          <w:color w:val="1F497D"/>
        </w:rPr>
        <w:t>CoVE</w:t>
      </w:r>
      <w:proofErr w:type="spellEnd"/>
      <w:r>
        <w:rPr>
          <w:color w:val="1F497D"/>
        </w:rPr>
        <w:t xml:space="preserve"> will be based at a site of the New Zealand Institute of Skills &amp; Technology, or a </w:t>
      </w:r>
      <w:proofErr w:type="spellStart"/>
      <w:r>
        <w:rPr>
          <w:color w:val="1F497D"/>
        </w:rPr>
        <w:t>wānanga</w:t>
      </w:r>
      <w:proofErr w:type="spellEnd"/>
      <w:r>
        <w:rPr>
          <w:color w:val="1F497D"/>
        </w:rPr>
        <w:t>, and will involve industry representatives, researchers, providers and other relevant groups working together to share best practice and knowledge.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The first two </w:t>
      </w:r>
      <w:proofErr w:type="spellStart"/>
      <w:r>
        <w:rPr>
          <w:color w:val="1F497D"/>
        </w:rPr>
        <w:t>CoVEs</w:t>
      </w:r>
      <w:proofErr w:type="spellEnd"/>
      <w:r>
        <w:rPr>
          <w:color w:val="1F497D"/>
        </w:rPr>
        <w:t xml:space="preserve"> will be a Construction </w:t>
      </w:r>
      <w:proofErr w:type="spellStart"/>
      <w:r>
        <w:rPr>
          <w:color w:val="1F497D"/>
        </w:rPr>
        <w:t>CoVE</w:t>
      </w:r>
      <w:proofErr w:type="spellEnd"/>
      <w:r>
        <w:rPr>
          <w:color w:val="1F497D"/>
        </w:rPr>
        <w:t xml:space="preserve"> and a Primary Sector </w:t>
      </w:r>
      <w:proofErr w:type="spellStart"/>
      <w:r>
        <w:rPr>
          <w:color w:val="1F497D"/>
        </w:rPr>
        <w:t>CoVE</w:t>
      </w:r>
      <w:proofErr w:type="spellEnd"/>
      <w:r>
        <w:rPr>
          <w:color w:val="1F497D"/>
        </w:rPr>
        <w:t xml:space="preserve">, but the scope and coverage of future </w:t>
      </w:r>
      <w:proofErr w:type="spellStart"/>
      <w:r>
        <w:rPr>
          <w:color w:val="1F497D"/>
        </w:rPr>
        <w:t>CoVEs</w:t>
      </w:r>
      <w:proofErr w:type="spellEnd"/>
      <w:r>
        <w:rPr>
          <w:color w:val="1F497D"/>
        </w:rPr>
        <w:t xml:space="preserve"> could be defined by industry, occupation, or by type of delivery, for example: </w:t>
      </w:r>
      <w:proofErr w:type="spellStart"/>
      <w:r>
        <w:rPr>
          <w:color w:val="1F497D"/>
        </w:rPr>
        <w:t>kaupapa</w:t>
      </w:r>
      <w:proofErr w:type="spellEnd"/>
      <w:r>
        <w:rPr>
          <w:color w:val="1F497D"/>
        </w:rPr>
        <w:t xml:space="preserve"> Māori, online learning, or foundation education.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The exciting thing about </w:t>
      </w:r>
      <w:proofErr w:type="spellStart"/>
      <w:r>
        <w:rPr>
          <w:color w:val="1F497D"/>
        </w:rPr>
        <w:t>CoVEs</w:t>
      </w:r>
      <w:proofErr w:type="spellEnd"/>
      <w:r>
        <w:rPr>
          <w:color w:val="1F497D"/>
        </w:rPr>
        <w:t xml:space="preserve"> is that the specific functions and activity of each </w:t>
      </w:r>
      <w:proofErr w:type="spellStart"/>
      <w:r>
        <w:rPr>
          <w:color w:val="1F497D"/>
        </w:rPr>
        <w:t>CoVE</w:t>
      </w:r>
      <w:proofErr w:type="spellEnd"/>
      <w:r>
        <w:rPr>
          <w:color w:val="1F497D"/>
        </w:rPr>
        <w:t xml:space="preserve"> will be generated by the applicants rather than tightly specified by the government. TEC will make sure that each </w:t>
      </w:r>
      <w:proofErr w:type="spellStart"/>
      <w:r>
        <w:rPr>
          <w:color w:val="1F497D"/>
        </w:rPr>
        <w:t>CoVE</w:t>
      </w:r>
      <w:proofErr w:type="spellEnd"/>
      <w:r>
        <w:rPr>
          <w:color w:val="1F497D"/>
        </w:rPr>
        <w:t xml:space="preserve"> is a genuine centre of excellence, bringing together the right people to identify opportunities, solve problems, and drive innovation.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>Now, where to from here?</w:t>
      </w: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The selection process has two-stages: We are currently accepting Registrations of Interest for the Primary Sector and Construction </w:t>
      </w:r>
      <w:proofErr w:type="spellStart"/>
      <w:r>
        <w:rPr>
          <w:color w:val="1F497D"/>
        </w:rPr>
        <w:t>CoVEs</w:t>
      </w:r>
      <w:proofErr w:type="spellEnd"/>
      <w:r>
        <w:rPr>
          <w:color w:val="1F497D"/>
        </w:rPr>
        <w:t>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>These will be assessed by a panel of experts, and shortlisted applicants will be asked to provide more detail in a request for a proposal. The successful candidates will be announced in the middle of this year.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There is a total of $5 million of funding for the first two pilot </w:t>
      </w:r>
      <w:proofErr w:type="spellStart"/>
      <w:r>
        <w:rPr>
          <w:color w:val="1F497D"/>
        </w:rPr>
        <w:t>CoVEs</w:t>
      </w:r>
      <w:proofErr w:type="spellEnd"/>
      <w:r>
        <w:rPr>
          <w:color w:val="1F497D"/>
        </w:rPr>
        <w:t xml:space="preserve">. While initial funding is for a defined period, </w:t>
      </w:r>
      <w:proofErr w:type="spellStart"/>
      <w:r>
        <w:rPr>
          <w:color w:val="1F497D"/>
        </w:rPr>
        <w:t>CoVEs</w:t>
      </w:r>
      <w:proofErr w:type="spellEnd"/>
      <w:r>
        <w:rPr>
          <w:color w:val="1F497D"/>
        </w:rPr>
        <w:t xml:space="preserve"> will be an enduring part of the New Zealand vocational education system.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You can find out more about </w:t>
      </w:r>
      <w:proofErr w:type="spellStart"/>
      <w:r>
        <w:rPr>
          <w:color w:val="1F497D"/>
        </w:rPr>
        <w:t>CoVEs</w:t>
      </w:r>
      <w:proofErr w:type="spellEnd"/>
      <w:r>
        <w:rPr>
          <w:color w:val="1F497D"/>
        </w:rPr>
        <w:t xml:space="preserve"> and the other parts of the reform on the TEC website at tec.govt.nz/rove.</w:t>
      </w:r>
    </w:p>
    <w:p w:rsidR="0027667E" w:rsidRDefault="0027667E" w:rsidP="00AF0762">
      <w:pPr>
        <w:jc w:val="both"/>
        <w:rPr>
          <w:color w:val="1F497D"/>
        </w:rPr>
      </w:pPr>
    </w:p>
    <w:p w:rsidR="0027667E" w:rsidRDefault="0027667E" w:rsidP="00AF0762">
      <w:pPr>
        <w:jc w:val="both"/>
        <w:rPr>
          <w:color w:val="1F497D"/>
        </w:rPr>
      </w:pPr>
      <w:r>
        <w:rPr>
          <w:color w:val="1F497D"/>
        </w:rPr>
        <w:t xml:space="preserve">Thank you for your time today.  </w:t>
      </w:r>
      <w:proofErr w:type="spellStart"/>
      <w:r>
        <w:rPr>
          <w:color w:val="1F497D"/>
        </w:rPr>
        <w:t>Tēnā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koutou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katoa</w:t>
      </w:r>
      <w:proofErr w:type="spellEnd"/>
      <w:r>
        <w:rPr>
          <w:color w:val="1F497D"/>
        </w:rPr>
        <w:t>.</w:t>
      </w:r>
    </w:p>
    <w:p w:rsidR="006F6749" w:rsidRPr="0027667E" w:rsidRDefault="006F6749" w:rsidP="0027667E"/>
    <w:sectPr w:rsidR="006F6749" w:rsidRPr="0027667E" w:rsidSect="002E7908">
      <w:headerReference w:type="even" r:id="rId8"/>
      <w:footerReference w:type="even" r:id="rId9"/>
      <w:footerReference w:type="default" r:id="rId10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7E" w:rsidRDefault="0027667E" w:rsidP="001D67C0">
      <w:r>
        <w:separator/>
      </w:r>
    </w:p>
    <w:p w:rsidR="0027667E" w:rsidRDefault="0027667E"/>
  </w:endnote>
  <w:endnote w:type="continuationSeparator" w:id="0">
    <w:p w:rsidR="0027667E" w:rsidRDefault="0027667E" w:rsidP="001D67C0">
      <w:r>
        <w:continuationSeparator/>
      </w:r>
    </w:p>
    <w:p w:rsidR="0027667E" w:rsidRDefault="00276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Default="00E618F7" w:rsidP="00E261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E953DF" w:rsidRDefault="0050222D" w:rsidP="003C7D8B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7E" w:rsidRDefault="0027667E" w:rsidP="001B733C">
      <w:r>
        <w:separator/>
      </w:r>
    </w:p>
  </w:footnote>
  <w:footnote w:type="continuationSeparator" w:id="0">
    <w:p w:rsidR="0027667E" w:rsidRDefault="0027667E" w:rsidP="001D67C0">
      <w:r>
        <w:continuationSeparator/>
      </w:r>
    </w:p>
    <w:p w:rsidR="0027667E" w:rsidRDefault="00276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E9299E" w:rsidRDefault="00E618F7" w:rsidP="00A90BE4">
    <w:pPr>
      <w:pStyle w:val="Head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427776">
      <w:t>10</w:t>
    </w:r>
    <w:r>
      <w:fldChar w:fldCharType="end"/>
    </w:r>
    <w:r>
      <w:tab/>
    </w:r>
    <w:r w:rsidR="002066BA">
      <w:tab/>
    </w:r>
    <w:r w:rsidRPr="00D2434F">
      <w:t>Enter document heading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3pt;height:597.75pt" o:bullet="t">
        <v:imagedata r:id="rId1" o:title="Bullet"/>
      </v:shape>
    </w:pict>
  </w:numPicBullet>
  <w:abstractNum w:abstractNumId="0" w15:restartNumberingAfterBreak="0">
    <w:nsid w:val="FFFFFF1D"/>
    <w:multiLevelType w:val="multilevel"/>
    <w:tmpl w:val="8BAA6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C4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D42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BE4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E907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22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DCB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07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68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04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A2758"/>
    <w:multiLevelType w:val="hybridMultilevel"/>
    <w:tmpl w:val="E92017E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F3B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A6C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E75D40"/>
    <w:multiLevelType w:val="multilevel"/>
    <w:tmpl w:val="91A4DC5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371C"/>
    <w:multiLevelType w:val="hybridMultilevel"/>
    <w:tmpl w:val="E404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60BBD"/>
    <w:multiLevelType w:val="hybridMultilevel"/>
    <w:tmpl w:val="EAA8D7A4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E6705"/>
    <w:multiLevelType w:val="hybridMultilevel"/>
    <w:tmpl w:val="0994C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25C86"/>
    <w:multiLevelType w:val="hybridMultilevel"/>
    <w:tmpl w:val="71C624C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12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702CF"/>
    <w:multiLevelType w:val="hybridMultilevel"/>
    <w:tmpl w:val="E7F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15397"/>
    <w:multiLevelType w:val="multilevel"/>
    <w:tmpl w:val="E7BCDB36"/>
    <w:lvl w:ilvl="0">
      <w:start w:val="1"/>
      <w:numFmt w:val="bullet"/>
      <w:lvlText w:val="›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4" w15:restartNumberingAfterBreak="0">
    <w:nsid w:val="28992EFD"/>
    <w:multiLevelType w:val="hybridMultilevel"/>
    <w:tmpl w:val="A89CD94C"/>
    <w:lvl w:ilvl="0" w:tplc="6EB0D62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F93"/>
    <w:multiLevelType w:val="hybridMultilevel"/>
    <w:tmpl w:val="E072172C"/>
    <w:lvl w:ilvl="0" w:tplc="E7D2E93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C7B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1D4609"/>
    <w:multiLevelType w:val="hybridMultilevel"/>
    <w:tmpl w:val="12FEF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77293"/>
    <w:multiLevelType w:val="multilevel"/>
    <w:tmpl w:val="44EA4F9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80FED"/>
    <w:multiLevelType w:val="multilevel"/>
    <w:tmpl w:val="25B87E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8C1"/>
    <w:multiLevelType w:val="multilevel"/>
    <w:tmpl w:val="EAA8D7A4"/>
    <w:lvl w:ilvl="0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32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E77D7"/>
    <w:multiLevelType w:val="hybridMultilevel"/>
    <w:tmpl w:val="9B06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7410"/>
    <w:multiLevelType w:val="hybridMultilevel"/>
    <w:tmpl w:val="C00069C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A584F"/>
    <w:multiLevelType w:val="hybridMultilevel"/>
    <w:tmpl w:val="120E0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E3723"/>
    <w:multiLevelType w:val="hybridMultilevel"/>
    <w:tmpl w:val="03C4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6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5E0691"/>
    <w:multiLevelType w:val="hybridMultilevel"/>
    <w:tmpl w:val="305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B6DD1"/>
    <w:multiLevelType w:val="hybridMultilevel"/>
    <w:tmpl w:val="3EE2DEB0"/>
    <w:lvl w:ilvl="0" w:tplc="29FAA03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112EB"/>
    <w:multiLevelType w:val="hybridMultilevel"/>
    <w:tmpl w:val="E18A2880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B705D"/>
    <w:multiLevelType w:val="hybridMultilevel"/>
    <w:tmpl w:val="D9367D4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D08"/>
    <w:multiLevelType w:val="hybridMultilevel"/>
    <w:tmpl w:val="297C02CA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048EC"/>
    <w:multiLevelType w:val="hybridMultilevel"/>
    <w:tmpl w:val="94A2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5762C"/>
    <w:multiLevelType w:val="hybridMultilevel"/>
    <w:tmpl w:val="9192233E"/>
    <w:lvl w:ilvl="0" w:tplc="143EF48E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46797"/>
    <w:multiLevelType w:val="multilevel"/>
    <w:tmpl w:val="78CCBEE4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45"/>
  </w:num>
  <w:num w:numId="4">
    <w:abstractNumId w:val="27"/>
  </w:num>
  <w:num w:numId="5">
    <w:abstractNumId w:val="22"/>
  </w:num>
  <w:num w:numId="6">
    <w:abstractNumId w:val="43"/>
  </w:num>
  <w:num w:numId="7">
    <w:abstractNumId w:val="17"/>
  </w:num>
  <w:num w:numId="8">
    <w:abstractNumId w:val="36"/>
  </w:num>
  <w:num w:numId="9">
    <w:abstractNumId w:val="38"/>
  </w:num>
  <w:num w:numId="10">
    <w:abstractNumId w:val="14"/>
  </w:num>
  <w:num w:numId="11">
    <w:abstractNumId w:val="25"/>
  </w:num>
  <w:num w:numId="12">
    <w:abstractNumId w:val="28"/>
  </w:num>
  <w:num w:numId="13">
    <w:abstractNumId w:val="15"/>
  </w:num>
  <w:num w:numId="14">
    <w:abstractNumId w:val="33"/>
  </w:num>
  <w:num w:numId="15">
    <w:abstractNumId w:val="11"/>
  </w:num>
  <w:num w:numId="16">
    <w:abstractNumId w:val="29"/>
  </w:num>
  <w:num w:numId="17">
    <w:abstractNumId w:val="19"/>
  </w:num>
  <w:num w:numId="18">
    <w:abstractNumId w:val="26"/>
  </w:num>
  <w:num w:numId="19">
    <w:abstractNumId w:val="16"/>
  </w:num>
  <w:num w:numId="20">
    <w:abstractNumId w:val="30"/>
  </w:num>
  <w:num w:numId="21">
    <w:abstractNumId w:val="35"/>
  </w:num>
  <w:num w:numId="22">
    <w:abstractNumId w:val="18"/>
  </w:num>
  <w:num w:numId="23">
    <w:abstractNumId w:val="44"/>
  </w:num>
  <w:num w:numId="24">
    <w:abstractNumId w:val="40"/>
  </w:num>
  <w:num w:numId="25">
    <w:abstractNumId w:val="24"/>
  </w:num>
  <w:num w:numId="26">
    <w:abstractNumId w:val="4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42"/>
  </w:num>
  <w:num w:numId="40">
    <w:abstractNumId w:val="13"/>
  </w:num>
  <w:num w:numId="41">
    <w:abstractNumId w:val="37"/>
  </w:num>
  <w:num w:numId="42">
    <w:abstractNumId w:val="12"/>
  </w:num>
  <w:num w:numId="43">
    <w:abstractNumId w:val="31"/>
  </w:num>
  <w:num w:numId="44">
    <w:abstractNumId w:val="46"/>
  </w:num>
  <w:num w:numId="45">
    <w:abstractNumId w:val="20"/>
  </w:num>
  <w:num w:numId="46">
    <w:abstractNumId w:val="23"/>
  </w:num>
  <w:num w:numId="47">
    <w:abstractNumId w:val="32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27667E"/>
    <w:rsid w:val="00001C6C"/>
    <w:rsid w:val="00013F48"/>
    <w:rsid w:val="00015DFF"/>
    <w:rsid w:val="000163D0"/>
    <w:rsid w:val="0002443C"/>
    <w:rsid w:val="00032D0B"/>
    <w:rsid w:val="00035552"/>
    <w:rsid w:val="00041596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7667E"/>
    <w:rsid w:val="002918F6"/>
    <w:rsid w:val="00294811"/>
    <w:rsid w:val="002A3AA9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C4BAA"/>
    <w:rsid w:val="003C7D8B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B16D3"/>
    <w:rsid w:val="004C2CF7"/>
    <w:rsid w:val="004C339A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391B"/>
    <w:rsid w:val="00786CC6"/>
    <w:rsid w:val="00795B08"/>
    <w:rsid w:val="007A3040"/>
    <w:rsid w:val="007C1763"/>
    <w:rsid w:val="007D0B96"/>
    <w:rsid w:val="007D25CE"/>
    <w:rsid w:val="007F002B"/>
    <w:rsid w:val="00807F69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F59"/>
    <w:rsid w:val="00AC5A45"/>
    <w:rsid w:val="00AC696F"/>
    <w:rsid w:val="00AC6CE5"/>
    <w:rsid w:val="00AE3B3F"/>
    <w:rsid w:val="00AF0762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F35"/>
    <w:rsid w:val="00C76F4D"/>
    <w:rsid w:val="00C85A5F"/>
    <w:rsid w:val="00C86F03"/>
    <w:rsid w:val="00CF141E"/>
    <w:rsid w:val="00CF17CB"/>
    <w:rsid w:val="00CF342A"/>
    <w:rsid w:val="00D00654"/>
    <w:rsid w:val="00D119AE"/>
    <w:rsid w:val="00D2434F"/>
    <w:rsid w:val="00D37E6E"/>
    <w:rsid w:val="00D50822"/>
    <w:rsid w:val="00D52DD9"/>
    <w:rsid w:val="00D65CB5"/>
    <w:rsid w:val="00D818FD"/>
    <w:rsid w:val="00DC059A"/>
    <w:rsid w:val="00DC1B2E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6C72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25055-6D3F-4FB2-BB6D-061D3D2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7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 w:after="12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514A4F"/>
      <w:szCs w:val="20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 w:after="120"/>
      <w:outlineLvl w:val="3"/>
    </w:pPr>
    <w:rPr>
      <w:rFonts w:eastAsiaTheme="majorEastAsia" w:cstheme="majorBidi"/>
      <w:b/>
      <w:bCs/>
      <w:i/>
      <w:iCs/>
      <w:color w:val="EA9922"/>
      <w:szCs w:val="20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  <w:color w:val="000000" w:themeColor="text1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 w:cs="Times New Roman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</w:pPr>
    <w:rPr>
      <w:rFonts w:cs="Times New Roman"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rPr>
      <w:rFonts w:cs="Times New Roman"/>
      <w:b/>
      <w:color w:val="000000" w:themeColor="text1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</w:pPr>
    <w:rPr>
      <w:rFonts w:eastAsia="MS Gothic" w:cs="Times New Roman"/>
      <w:iCs/>
      <w:color w:val="EA9922"/>
      <w:spacing w:val="15"/>
      <w:sz w:val="36"/>
      <w:szCs w:val="20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rFonts w:cs="Times New Roman"/>
      <w:bCs/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pPr>
      <w:spacing w:after="120"/>
    </w:pPr>
    <w:rPr>
      <w:rFonts w:ascii="Georgia" w:hAnsi="Georgia" w:cs="Times New Roman"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 w:cs="Times New Roman"/>
      <w:color w:val="CE3D20"/>
      <w:sz w:val="40"/>
      <w:szCs w:val="20"/>
    </w:rPr>
  </w:style>
  <w:style w:type="paragraph" w:customStyle="1" w:styleId="Bullets1">
    <w:name w:val="Bullets 1"/>
    <w:basedOn w:val="Normal"/>
    <w:qFormat/>
    <w:rsid w:val="005F600E"/>
    <w:pPr>
      <w:numPr>
        <w:numId w:val="43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44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45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spacing w:after="120"/>
      <w:ind w:left="720"/>
      <w:contextualSpacing/>
    </w:pPr>
    <w:rPr>
      <w:rFonts w:cs="Times New Roman"/>
      <w:color w:val="000000" w:themeColor="text1"/>
      <w:szCs w:val="20"/>
    </w:rPr>
  </w:style>
  <w:style w:type="paragraph" w:customStyle="1" w:styleId="Bullets2">
    <w:name w:val="Bullets 2"/>
    <w:basedOn w:val="ListParagraph"/>
    <w:qFormat/>
    <w:rsid w:val="00EE0011"/>
    <w:pPr>
      <w:numPr>
        <w:numId w:val="46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47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spacing w:after="120"/>
      <w:ind w:left="284" w:right="567"/>
    </w:pPr>
    <w:rPr>
      <w:rFonts w:cs="Times New Roman"/>
      <w:noProof/>
      <w:color w:val="000000" w:themeColor="text1"/>
      <w:szCs w:val="20"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spacing w:after="120"/>
      <w:ind w:right="567"/>
    </w:pPr>
    <w:rPr>
      <w:rFonts w:cs="Times New Roman"/>
      <w:noProof/>
      <w:color w:val="000000" w:themeColor="text1"/>
      <w:szCs w:val="20"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spacing w:after="120"/>
      <w:ind w:right="567"/>
    </w:pPr>
    <w:rPr>
      <w:rFonts w:cs="Times New Roman"/>
      <w:noProof/>
      <w:color w:val="000000" w:themeColor="text1"/>
      <w:szCs w:val="20"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rFonts w:cs="Times New Roman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B3C7A-BFE4-4537-B833-5936B5E5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Carolyn Lankow</cp:lastModifiedBy>
  <cp:revision>3</cp:revision>
  <dcterms:created xsi:type="dcterms:W3CDTF">2020-03-12T19:51:00Z</dcterms:created>
  <dcterms:modified xsi:type="dcterms:W3CDTF">2020-03-12T19:55:00Z</dcterms:modified>
</cp:coreProperties>
</file>