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BD" w:rsidRPr="000A7DB2" w:rsidRDefault="006E2BBD" w:rsidP="006E2BBD">
      <w:pPr>
        <w:rPr>
          <w:rFonts w:ascii="Georgia" w:eastAsia="Times New Roman" w:hAnsi="Georgia" w:cs="Arial"/>
          <w:b/>
          <w:sz w:val="28"/>
          <w:szCs w:val="28"/>
        </w:rPr>
      </w:pPr>
      <w:bookmarkStart w:id="0" w:name="_GoBack"/>
      <w:bookmarkEnd w:id="0"/>
      <w:r w:rsidRPr="000A7DB2">
        <w:rPr>
          <w:rFonts w:ascii="Georgia" w:eastAsia="Times New Roman" w:hAnsi="Georgia" w:cs="Arial"/>
          <w:b/>
          <w:sz w:val="28"/>
          <w:szCs w:val="28"/>
          <w:lang w:val="en-GB"/>
        </w:rPr>
        <w:t>Table One: Prudential financial standards</w:t>
      </w:r>
    </w:p>
    <w:p w:rsidR="006E2BBD" w:rsidRPr="000A7DB2" w:rsidRDefault="00DB0044" w:rsidP="006E2BBD">
      <w:pPr>
        <w:pStyle w:val="CM5"/>
        <w:spacing w:before="120" w:after="120"/>
        <w:rPr>
          <w:rFonts w:asciiTheme="minorHAnsi" w:hAnsiTheme="minorHAnsi"/>
          <w:sz w:val="22"/>
          <w:szCs w:val="22"/>
        </w:rPr>
      </w:pPr>
      <w:r w:rsidRPr="000A7DB2">
        <w:rPr>
          <w:rFonts w:asciiTheme="minorHAnsi" w:hAnsiTheme="minorHAnsi"/>
          <w:sz w:val="22"/>
          <w:szCs w:val="22"/>
        </w:rPr>
        <w:t>We use t</w:t>
      </w:r>
      <w:r w:rsidR="006E2BBD" w:rsidRPr="000A7DB2">
        <w:rPr>
          <w:rFonts w:asciiTheme="minorHAnsi" w:hAnsiTheme="minorHAnsi"/>
          <w:sz w:val="22"/>
          <w:szCs w:val="22"/>
        </w:rPr>
        <w:t>hese indicators a</w:t>
      </w:r>
      <w:r w:rsidRPr="000A7DB2">
        <w:rPr>
          <w:rFonts w:asciiTheme="minorHAnsi" w:hAnsiTheme="minorHAnsi"/>
          <w:sz w:val="22"/>
          <w:szCs w:val="22"/>
        </w:rPr>
        <w:t>s</w:t>
      </w:r>
      <w:r w:rsidR="006E2BBD" w:rsidRPr="000A7DB2">
        <w:rPr>
          <w:rFonts w:asciiTheme="minorHAnsi" w:hAnsiTheme="minorHAnsi"/>
          <w:sz w:val="22"/>
          <w:szCs w:val="22"/>
        </w:rPr>
        <w:t xml:space="preserve"> a quick guide to assess the financial viability and solvency of a PTE. Most of the indicators are in common use by accountants and the wider finance sector. All the indicators should be calculated using an entity’s last set of financial accounts. </w:t>
      </w:r>
    </w:p>
    <w:tbl>
      <w:tblPr>
        <w:tblStyle w:val="TableGrid1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559"/>
        <w:gridCol w:w="1701"/>
        <w:gridCol w:w="2126"/>
        <w:gridCol w:w="1985"/>
        <w:gridCol w:w="3260"/>
      </w:tblGrid>
      <w:tr w:rsidR="000A7DB2" w:rsidRPr="000A7DB2" w:rsidTr="000A7DB2">
        <w:trPr>
          <w:trHeight w:val="529"/>
        </w:trPr>
        <w:tc>
          <w:tcPr>
            <w:tcW w:w="426" w:type="dxa"/>
            <w:shd w:val="clear" w:color="auto" w:fill="57A8C5"/>
          </w:tcPr>
          <w:p w:rsidR="006E2BBD" w:rsidRPr="000A7DB2" w:rsidRDefault="006E2BBD" w:rsidP="00C66D0F">
            <w:pPr>
              <w:jc w:val="both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7A8C5"/>
          </w:tcPr>
          <w:p w:rsidR="006E2BBD" w:rsidRPr="000A7DB2" w:rsidRDefault="006E2BBD" w:rsidP="001223DC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Indicator</w:t>
            </w:r>
          </w:p>
        </w:tc>
        <w:tc>
          <w:tcPr>
            <w:tcW w:w="1559" w:type="dxa"/>
            <w:shd w:val="clear" w:color="auto" w:fill="57A8C5"/>
          </w:tcPr>
          <w:p w:rsidR="006E2BBD" w:rsidRPr="000A7DB2" w:rsidRDefault="006E2BBD" w:rsidP="001223DC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Strong</w:t>
            </w:r>
            <w:r w:rsidR="001223DC"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(5 points)</w:t>
            </w:r>
          </w:p>
        </w:tc>
        <w:tc>
          <w:tcPr>
            <w:tcW w:w="1559" w:type="dxa"/>
            <w:shd w:val="clear" w:color="auto" w:fill="57A8C5"/>
          </w:tcPr>
          <w:p w:rsidR="006E2BBD" w:rsidRPr="000A7DB2" w:rsidRDefault="006E2BBD" w:rsidP="001223DC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Adequate</w:t>
            </w:r>
            <w:r w:rsidR="001223DC"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(3 points)</w:t>
            </w:r>
          </w:p>
        </w:tc>
        <w:tc>
          <w:tcPr>
            <w:tcW w:w="1701" w:type="dxa"/>
            <w:shd w:val="clear" w:color="auto" w:fill="57A8C5"/>
          </w:tcPr>
          <w:p w:rsidR="006E2BBD" w:rsidRPr="000A7DB2" w:rsidRDefault="006E2BBD" w:rsidP="001223DC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Poor</w:t>
            </w:r>
            <w:r w:rsidR="001223DC"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(1 point)</w:t>
            </w:r>
          </w:p>
        </w:tc>
        <w:tc>
          <w:tcPr>
            <w:tcW w:w="2126" w:type="dxa"/>
            <w:shd w:val="clear" w:color="auto" w:fill="57A8C5"/>
          </w:tcPr>
          <w:p w:rsidR="006E2BBD" w:rsidRPr="000A7DB2" w:rsidRDefault="006E2BBD" w:rsidP="001223DC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High risk</w:t>
            </w:r>
            <w:r w:rsidR="001223DC"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(-5 points)</w:t>
            </w:r>
          </w:p>
        </w:tc>
        <w:tc>
          <w:tcPr>
            <w:tcW w:w="1985" w:type="dxa"/>
            <w:shd w:val="clear" w:color="auto" w:fill="57A8C5"/>
          </w:tcPr>
          <w:p w:rsidR="006E2BBD" w:rsidRPr="000A7DB2" w:rsidRDefault="006E2BBD" w:rsidP="001223DC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Extreme risk</w:t>
            </w:r>
            <w:r w:rsidR="001223DC"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(-10 points)</w:t>
            </w:r>
          </w:p>
        </w:tc>
        <w:tc>
          <w:tcPr>
            <w:tcW w:w="3260" w:type="dxa"/>
            <w:shd w:val="clear" w:color="auto" w:fill="57A8C5"/>
          </w:tcPr>
          <w:p w:rsidR="006E2BBD" w:rsidRPr="000A7DB2" w:rsidRDefault="006E2BBD" w:rsidP="001223DC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Calculation and comment</w:t>
            </w:r>
          </w:p>
        </w:tc>
      </w:tr>
      <w:tr w:rsidR="006E2BBD" w:rsidRPr="000A7DB2" w:rsidTr="00673A84">
        <w:trPr>
          <w:trHeight w:val="708"/>
        </w:trPr>
        <w:tc>
          <w:tcPr>
            <w:tcW w:w="4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Net tangible assets</w:t>
            </w:r>
            <w:r w:rsidR="007825BA" w:rsidRPr="000A7DB2">
              <w:rPr>
                <w:rFonts w:cs="Arial"/>
                <w:sz w:val="20"/>
                <w:szCs w:val="20"/>
              </w:rPr>
              <w:t xml:space="preserve"> ratio</w:t>
            </w:r>
          </w:p>
        </w:tc>
        <w:tc>
          <w:tcPr>
            <w:tcW w:w="1559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10%+ of total revenue</w:t>
            </w:r>
          </w:p>
        </w:tc>
        <w:tc>
          <w:tcPr>
            <w:tcW w:w="1559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5% to 10% of total revenue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2%-5% of total revenue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Less than $50,000 or less than 2% of total revenue</w:t>
            </w:r>
          </w:p>
        </w:tc>
        <w:tc>
          <w:tcPr>
            <w:tcW w:w="198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Zero or less</w:t>
            </w:r>
          </w:p>
        </w:tc>
        <w:tc>
          <w:tcPr>
            <w:tcW w:w="3260" w:type="dxa"/>
          </w:tcPr>
          <w:p w:rsidR="006E2BBD" w:rsidRPr="000A7DB2" w:rsidRDefault="001223DC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Total equity less intangible</w:t>
            </w:r>
            <w:r w:rsidR="007825BA" w:rsidRPr="000A7DB2">
              <w:rPr>
                <w:rFonts w:cs="Arial"/>
                <w:sz w:val="20"/>
                <w:szCs w:val="20"/>
              </w:rPr>
              <w:t xml:space="preserve"> asset</w:t>
            </w:r>
            <w:r w:rsidRPr="000A7DB2">
              <w:rPr>
                <w:rFonts w:cs="Arial"/>
                <w:sz w:val="20"/>
                <w:szCs w:val="20"/>
              </w:rPr>
              <w:t>s</w:t>
            </w:r>
            <w:r w:rsidR="007825BA" w:rsidRPr="000A7DB2">
              <w:rPr>
                <w:rFonts w:cs="Arial"/>
                <w:sz w:val="20"/>
                <w:szCs w:val="20"/>
              </w:rPr>
              <w:t>/Total revenue</w:t>
            </w:r>
          </w:p>
        </w:tc>
      </w:tr>
      <w:tr w:rsidR="006E2BBD" w:rsidRPr="000A7DB2" w:rsidTr="00673A84">
        <w:tc>
          <w:tcPr>
            <w:tcW w:w="4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E2BBD" w:rsidRPr="000A7DB2" w:rsidRDefault="006E2BBD" w:rsidP="007825BA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Liquid</w:t>
            </w:r>
            <w:r w:rsidR="007825BA" w:rsidRPr="000A7DB2">
              <w:rPr>
                <w:rFonts w:cs="Arial"/>
                <w:sz w:val="20"/>
                <w:szCs w:val="20"/>
              </w:rPr>
              <w:t xml:space="preserve"> assets</w:t>
            </w:r>
            <w:r w:rsidRPr="000A7DB2">
              <w:rPr>
                <w:rFonts w:cs="Arial"/>
                <w:sz w:val="20"/>
                <w:szCs w:val="20"/>
              </w:rPr>
              <w:t xml:space="preserve"> ratio</w:t>
            </w:r>
          </w:p>
        </w:tc>
        <w:tc>
          <w:tcPr>
            <w:tcW w:w="1559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16%+</w:t>
            </w:r>
          </w:p>
        </w:tc>
        <w:tc>
          <w:tcPr>
            <w:tcW w:w="1559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8%+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5% to 8%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Less than 5%</w:t>
            </w:r>
          </w:p>
        </w:tc>
        <w:tc>
          <w:tcPr>
            <w:tcW w:w="198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Zero or negative</w:t>
            </w:r>
          </w:p>
        </w:tc>
        <w:tc>
          <w:tcPr>
            <w:tcW w:w="3260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Cash + bank + readily liquefiable investments-bank overdrafts/</w:t>
            </w:r>
            <w:r w:rsidR="001223DC" w:rsidRPr="000A7DB2">
              <w:rPr>
                <w:rFonts w:cs="Arial"/>
                <w:sz w:val="20"/>
                <w:szCs w:val="20"/>
              </w:rPr>
              <w:t xml:space="preserve"> </w:t>
            </w:r>
            <w:r w:rsidR="007825BA" w:rsidRPr="000A7DB2">
              <w:rPr>
                <w:rFonts w:cs="Arial"/>
                <w:sz w:val="20"/>
                <w:szCs w:val="20"/>
              </w:rPr>
              <w:t xml:space="preserve">Annual </w:t>
            </w:r>
            <w:r w:rsidR="00673A84" w:rsidRPr="000A7DB2">
              <w:rPr>
                <w:rFonts w:cs="Arial"/>
                <w:sz w:val="20"/>
                <w:szCs w:val="20"/>
              </w:rPr>
              <w:t>cash outflow from operations</w:t>
            </w:r>
          </w:p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Readily liquefiable investments include financial assets that can be liquidated within 90 days without m</w:t>
            </w:r>
            <w:r w:rsidR="00673A84" w:rsidRPr="000A7DB2">
              <w:rPr>
                <w:rFonts w:cs="Arial"/>
                <w:sz w:val="20"/>
                <w:szCs w:val="20"/>
              </w:rPr>
              <w:t>aterially affecting operations</w:t>
            </w:r>
          </w:p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The assessment may include TEC approved undrawn committed borrowing facilities with a term greater than one year and TEC approved investment</w:t>
            </w:r>
            <w:r w:rsidR="001223DC" w:rsidRPr="000A7DB2">
              <w:rPr>
                <w:rFonts w:cs="Arial"/>
                <w:sz w:val="20"/>
                <w:szCs w:val="20"/>
              </w:rPr>
              <w:t>s with a Group central treasury</w:t>
            </w:r>
          </w:p>
        </w:tc>
      </w:tr>
      <w:tr w:rsidR="006E2BBD" w:rsidRPr="000A7DB2" w:rsidTr="00673A84">
        <w:tc>
          <w:tcPr>
            <w:tcW w:w="4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Working capital ratio</w:t>
            </w:r>
          </w:p>
        </w:tc>
        <w:tc>
          <w:tcPr>
            <w:tcW w:w="1559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120%+</w:t>
            </w:r>
          </w:p>
        </w:tc>
        <w:tc>
          <w:tcPr>
            <w:tcW w:w="1559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100% to 120%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75% to 100%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Less than 75% or where the working capital deficit exceeds annual net cashflow from operations</w:t>
            </w:r>
          </w:p>
        </w:tc>
        <w:tc>
          <w:tcPr>
            <w:tcW w:w="198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Less than 20%</w:t>
            </w:r>
          </w:p>
        </w:tc>
        <w:tc>
          <w:tcPr>
            <w:tcW w:w="3260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Current assets/</w:t>
            </w:r>
            <w:r w:rsidR="007825BA" w:rsidRPr="000A7DB2">
              <w:rPr>
                <w:rFonts w:cs="Arial"/>
                <w:sz w:val="20"/>
                <w:szCs w:val="20"/>
              </w:rPr>
              <w:t xml:space="preserve">Current </w:t>
            </w:r>
            <w:r w:rsidRPr="000A7DB2">
              <w:rPr>
                <w:rFonts w:cs="Arial"/>
                <w:sz w:val="20"/>
                <w:szCs w:val="20"/>
              </w:rPr>
              <w:t>liabilities</w:t>
            </w:r>
          </w:p>
        </w:tc>
      </w:tr>
      <w:tr w:rsidR="006E2BBD" w:rsidRPr="000A7DB2" w:rsidTr="00673A84">
        <w:tc>
          <w:tcPr>
            <w:tcW w:w="4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E2BBD" w:rsidRPr="000A7DB2" w:rsidRDefault="007825BA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Profitability</w:t>
            </w:r>
            <w:r w:rsidR="006E2BBD" w:rsidRPr="000A7DB2">
              <w:rPr>
                <w:rFonts w:cs="Arial"/>
                <w:sz w:val="20"/>
                <w:szCs w:val="20"/>
              </w:rPr>
              <w:t xml:space="preserve"> ratio</w:t>
            </w:r>
          </w:p>
        </w:tc>
        <w:tc>
          <w:tcPr>
            <w:tcW w:w="1559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 xml:space="preserve">8%+ (i.e. generates a </w:t>
            </w:r>
            <w:r w:rsidRPr="000A7DB2">
              <w:rPr>
                <w:rFonts w:cs="Arial"/>
                <w:sz w:val="20"/>
                <w:szCs w:val="20"/>
              </w:rPr>
              <w:lastRenderedPageBreak/>
              <w:t>commercial return)</w:t>
            </w:r>
          </w:p>
        </w:tc>
        <w:tc>
          <w:tcPr>
            <w:tcW w:w="1559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>0 to 8%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0 to -8%</w:t>
            </w:r>
          </w:p>
        </w:tc>
        <w:tc>
          <w:tcPr>
            <w:tcW w:w="2126" w:type="dxa"/>
          </w:tcPr>
          <w:p w:rsidR="006E2BBD" w:rsidRPr="000A7DB2" w:rsidRDefault="006E2BBD" w:rsidP="00673A84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 xml:space="preserve">Loss&gt;8% of </w:t>
            </w:r>
            <w:r w:rsidR="00673A84" w:rsidRPr="000A7DB2">
              <w:rPr>
                <w:rFonts w:cs="Arial"/>
                <w:sz w:val="20"/>
                <w:szCs w:val="20"/>
              </w:rPr>
              <w:t>t</w:t>
            </w:r>
            <w:r w:rsidRPr="000A7DB2">
              <w:rPr>
                <w:rFonts w:cs="Arial"/>
                <w:sz w:val="20"/>
                <w:szCs w:val="20"/>
              </w:rPr>
              <w:t xml:space="preserve">otal </w:t>
            </w:r>
            <w:r w:rsidR="00673A84" w:rsidRPr="000A7DB2">
              <w:rPr>
                <w:rFonts w:cs="Arial"/>
                <w:sz w:val="20"/>
                <w:szCs w:val="20"/>
              </w:rPr>
              <w:t>revenue or &gt;</w:t>
            </w:r>
            <w:r w:rsidRPr="000A7DB2">
              <w:rPr>
                <w:rFonts w:cs="Arial"/>
                <w:sz w:val="20"/>
                <w:szCs w:val="20"/>
              </w:rPr>
              <w:t xml:space="preserve">30% of </w:t>
            </w:r>
            <w:r w:rsidR="00673A84" w:rsidRPr="000A7DB2">
              <w:rPr>
                <w:rFonts w:cs="Arial"/>
                <w:sz w:val="20"/>
                <w:szCs w:val="20"/>
              </w:rPr>
              <w:lastRenderedPageBreak/>
              <w:t>t</w:t>
            </w:r>
            <w:r w:rsidRPr="000A7DB2">
              <w:rPr>
                <w:rFonts w:cs="Arial"/>
                <w:sz w:val="20"/>
                <w:szCs w:val="20"/>
              </w:rPr>
              <w:t xml:space="preserve">otal </w:t>
            </w:r>
            <w:r w:rsidR="00673A84" w:rsidRPr="000A7DB2">
              <w:rPr>
                <w:rFonts w:cs="Arial"/>
                <w:sz w:val="20"/>
                <w:szCs w:val="20"/>
              </w:rPr>
              <w:t>e</w:t>
            </w:r>
            <w:r w:rsidRPr="000A7DB2">
              <w:rPr>
                <w:rFonts w:cs="Arial"/>
                <w:sz w:val="20"/>
                <w:szCs w:val="20"/>
              </w:rPr>
              <w:t>quity</w:t>
            </w:r>
          </w:p>
        </w:tc>
        <w:tc>
          <w:tcPr>
            <w:tcW w:w="198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 xml:space="preserve">Size of loss precludes PTE from meeting its </w:t>
            </w:r>
            <w:r w:rsidRPr="000A7DB2">
              <w:rPr>
                <w:rFonts w:cs="Arial"/>
                <w:sz w:val="20"/>
                <w:szCs w:val="20"/>
              </w:rPr>
              <w:lastRenderedPageBreak/>
              <w:t>bills as they fall due</w:t>
            </w:r>
          </w:p>
        </w:tc>
        <w:tc>
          <w:tcPr>
            <w:tcW w:w="3260" w:type="dxa"/>
          </w:tcPr>
          <w:p w:rsidR="006E2BBD" w:rsidRPr="000A7DB2" w:rsidRDefault="007825BA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 xml:space="preserve">Net </w:t>
            </w:r>
            <w:r w:rsidR="006E2BBD" w:rsidRPr="000A7DB2">
              <w:rPr>
                <w:rFonts w:cs="Arial"/>
                <w:sz w:val="20"/>
                <w:szCs w:val="20"/>
              </w:rPr>
              <w:t>surplus</w:t>
            </w:r>
            <w:r w:rsidRPr="000A7DB2">
              <w:rPr>
                <w:rFonts w:cs="Arial"/>
                <w:sz w:val="20"/>
                <w:szCs w:val="20"/>
              </w:rPr>
              <w:t xml:space="preserve"> after tax</w:t>
            </w:r>
            <w:r w:rsidR="006E2BBD" w:rsidRPr="000A7DB2">
              <w:rPr>
                <w:rFonts w:cs="Arial"/>
                <w:sz w:val="20"/>
                <w:szCs w:val="20"/>
              </w:rPr>
              <w:t>/</w:t>
            </w:r>
            <w:r w:rsidRPr="000A7DB2">
              <w:rPr>
                <w:rFonts w:cs="Arial"/>
                <w:sz w:val="20"/>
                <w:szCs w:val="20"/>
              </w:rPr>
              <w:t xml:space="preserve">Total </w:t>
            </w:r>
            <w:r w:rsidR="006E2BBD" w:rsidRPr="000A7DB2">
              <w:rPr>
                <w:rFonts w:cs="Arial"/>
                <w:sz w:val="20"/>
                <w:szCs w:val="20"/>
              </w:rPr>
              <w:t>revenue</w:t>
            </w:r>
          </w:p>
        </w:tc>
      </w:tr>
      <w:tr w:rsidR="006E2BBD" w:rsidRPr="000A7DB2" w:rsidTr="00673A84">
        <w:tc>
          <w:tcPr>
            <w:tcW w:w="4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Net cash flow from operations</w:t>
            </w:r>
            <w:r w:rsidR="007825BA" w:rsidRPr="000A7DB2">
              <w:rPr>
                <w:rFonts w:cs="Arial"/>
                <w:sz w:val="20"/>
                <w:szCs w:val="20"/>
              </w:rPr>
              <w:t xml:space="preserve"> ratio</w:t>
            </w:r>
          </w:p>
        </w:tc>
        <w:tc>
          <w:tcPr>
            <w:tcW w:w="1559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111%+</w:t>
            </w:r>
          </w:p>
        </w:tc>
        <w:tc>
          <w:tcPr>
            <w:tcW w:w="1559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108% to 111%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100% to 108%</w:t>
            </w:r>
          </w:p>
        </w:tc>
        <w:tc>
          <w:tcPr>
            <w:tcW w:w="2126" w:type="dxa"/>
          </w:tcPr>
          <w:p w:rsidR="006E2BBD" w:rsidRPr="000A7DB2" w:rsidRDefault="00673A84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Ratio&lt;</w:t>
            </w:r>
            <w:r w:rsidR="006E2BBD" w:rsidRPr="000A7DB2">
              <w:rPr>
                <w:rFonts w:cs="Arial"/>
                <w:sz w:val="20"/>
                <w:szCs w:val="20"/>
              </w:rPr>
              <w:t>100%</w:t>
            </w:r>
          </w:p>
        </w:tc>
        <w:tc>
          <w:tcPr>
            <w:tcW w:w="198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Signs the PTE is not generating enough cash to meet bills as they fall due</w:t>
            </w:r>
          </w:p>
        </w:tc>
        <w:tc>
          <w:tcPr>
            <w:tcW w:w="3260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Annual cash inflow from operations/</w:t>
            </w:r>
            <w:r w:rsidR="007825BA" w:rsidRPr="000A7DB2">
              <w:rPr>
                <w:rFonts w:cs="Arial"/>
                <w:sz w:val="20"/>
                <w:szCs w:val="20"/>
              </w:rPr>
              <w:t xml:space="preserve">Annual </w:t>
            </w:r>
            <w:r w:rsidRPr="000A7DB2">
              <w:rPr>
                <w:rFonts w:cs="Arial"/>
                <w:sz w:val="20"/>
                <w:szCs w:val="20"/>
              </w:rPr>
              <w:t>cash outflow from operations</w:t>
            </w:r>
          </w:p>
        </w:tc>
      </w:tr>
      <w:tr w:rsidR="006E2BBD" w:rsidRPr="000A7DB2" w:rsidTr="00673A84">
        <w:trPr>
          <w:trHeight w:val="2559"/>
        </w:trPr>
        <w:tc>
          <w:tcPr>
            <w:tcW w:w="4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Debt equity ratio</w:t>
            </w:r>
          </w:p>
        </w:tc>
        <w:tc>
          <w:tcPr>
            <w:tcW w:w="1559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Less than 20%</w:t>
            </w:r>
          </w:p>
        </w:tc>
        <w:tc>
          <w:tcPr>
            <w:tcW w:w="1559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20% to 33%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33% to 50%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50% to 80%</w:t>
            </w:r>
          </w:p>
        </w:tc>
        <w:tc>
          <w:tcPr>
            <w:tcW w:w="1985" w:type="dxa"/>
          </w:tcPr>
          <w:p w:rsidR="006E2BBD" w:rsidRPr="000A7DB2" w:rsidRDefault="00673A84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80%+ or negative ratio</w:t>
            </w:r>
          </w:p>
        </w:tc>
        <w:tc>
          <w:tcPr>
            <w:tcW w:w="3260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Debt</w:t>
            </w:r>
            <w:r w:rsidR="007825BA" w:rsidRPr="000A7DB2">
              <w:rPr>
                <w:rFonts w:cs="Arial"/>
                <w:sz w:val="20"/>
                <w:szCs w:val="20"/>
              </w:rPr>
              <w:t xml:space="preserve">/Debt </w:t>
            </w:r>
            <w:r w:rsidR="00673A84" w:rsidRPr="000A7DB2">
              <w:rPr>
                <w:rFonts w:cs="Arial"/>
                <w:sz w:val="20"/>
                <w:szCs w:val="20"/>
              </w:rPr>
              <w:t>plus net tangible assets</w:t>
            </w:r>
          </w:p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Debt excludes accounts payable, student fees in advance, and current liabilities unlikely to result in a cash outflow. Debt includes shareholder current accounts where t</w:t>
            </w:r>
            <w:r w:rsidR="00673A84" w:rsidRPr="000A7DB2">
              <w:rPr>
                <w:rFonts w:cs="Arial"/>
                <w:sz w:val="20"/>
                <w:szCs w:val="20"/>
              </w:rPr>
              <w:t>hese are a liability of the PTE</w:t>
            </w:r>
          </w:p>
        </w:tc>
      </w:tr>
    </w:tbl>
    <w:p w:rsidR="006E2BBD" w:rsidRPr="000A7DB2" w:rsidRDefault="006E2BBD" w:rsidP="006E2BBD">
      <w:pPr>
        <w:rPr>
          <w:rFonts w:eastAsia="Times New Roman" w:cs="Arial"/>
          <w:b/>
        </w:rPr>
      </w:pPr>
    </w:p>
    <w:p w:rsidR="006E2BBD" w:rsidRPr="000A7DB2" w:rsidRDefault="006E2BBD" w:rsidP="006E2BBD">
      <w:pPr>
        <w:rPr>
          <w:rFonts w:eastAsia="Times New Roman" w:cs="Arial"/>
          <w:b/>
          <w:sz w:val="28"/>
          <w:szCs w:val="28"/>
        </w:rPr>
      </w:pPr>
      <w:r w:rsidRPr="000A7DB2">
        <w:rPr>
          <w:rFonts w:eastAsia="Times New Roman" w:cs="Arial"/>
          <w:b/>
          <w:sz w:val="28"/>
          <w:szCs w:val="28"/>
        </w:rPr>
        <w:br w:type="page"/>
      </w:r>
    </w:p>
    <w:p w:rsidR="006E2BBD" w:rsidRPr="000A7DB2" w:rsidRDefault="006E2BBD" w:rsidP="006E2BBD">
      <w:pPr>
        <w:rPr>
          <w:rFonts w:ascii="Georgia" w:eastAsia="Times New Roman" w:hAnsi="Georgia" w:cs="Arial"/>
          <w:b/>
          <w:sz w:val="28"/>
          <w:szCs w:val="28"/>
          <w:lang w:val="en-GB"/>
        </w:rPr>
      </w:pPr>
      <w:r w:rsidRPr="000A7DB2">
        <w:rPr>
          <w:rFonts w:ascii="Georgia" w:eastAsia="Times New Roman" w:hAnsi="Georgia" w:cs="Arial"/>
          <w:b/>
          <w:sz w:val="28"/>
          <w:szCs w:val="28"/>
          <w:lang w:val="en-GB"/>
        </w:rPr>
        <w:lastRenderedPageBreak/>
        <w:t xml:space="preserve">Table Two: Further financial indicators used </w:t>
      </w:r>
    </w:p>
    <w:p w:rsidR="006E2BBD" w:rsidRPr="000A7DB2" w:rsidRDefault="006E2BBD" w:rsidP="006E2BBD">
      <w:pPr>
        <w:rPr>
          <w:rFonts w:eastAsia="Times New Roman" w:cs="Arial"/>
        </w:rPr>
      </w:pPr>
      <w:r w:rsidRPr="000A7DB2">
        <w:rPr>
          <w:rFonts w:eastAsia="Times New Roman" w:cs="Arial"/>
        </w:rPr>
        <w:t>Where there are concerns with the financial health of a PTE then we use this wider set of risk indicators; supplement these with additional financial and educational performance information, and follow up with a discussion with the PTE and its financial advisors to inform the assessment.</w:t>
      </w:r>
    </w:p>
    <w:tbl>
      <w:tblPr>
        <w:tblStyle w:val="TableGrid1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665"/>
        <w:gridCol w:w="1596"/>
        <w:gridCol w:w="1701"/>
        <w:gridCol w:w="1701"/>
        <w:gridCol w:w="2126"/>
        <w:gridCol w:w="2126"/>
        <w:gridCol w:w="2835"/>
      </w:tblGrid>
      <w:tr w:rsidR="000A7DB2" w:rsidRPr="000A7DB2" w:rsidTr="000A7DB2">
        <w:tc>
          <w:tcPr>
            <w:tcW w:w="567" w:type="dxa"/>
            <w:shd w:val="clear" w:color="auto" w:fill="57A8C5"/>
          </w:tcPr>
          <w:p w:rsidR="006E2BBD" w:rsidRPr="000A7DB2" w:rsidRDefault="006E2BBD" w:rsidP="00C66D0F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57A8C5"/>
          </w:tcPr>
          <w:p w:rsidR="006E2BBD" w:rsidRPr="000A7DB2" w:rsidRDefault="006E2BBD" w:rsidP="00C66D0F">
            <w:pPr>
              <w:jc w:val="both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Indicator</w:t>
            </w:r>
          </w:p>
        </w:tc>
        <w:tc>
          <w:tcPr>
            <w:tcW w:w="1596" w:type="dxa"/>
            <w:shd w:val="clear" w:color="auto" w:fill="57A8C5"/>
          </w:tcPr>
          <w:p w:rsidR="006E2BBD" w:rsidRPr="000A7DB2" w:rsidRDefault="006E2BBD" w:rsidP="007825BA">
            <w:pPr>
              <w:jc w:val="both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Strong</w:t>
            </w:r>
            <w:r w:rsidR="007825BA"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(5 points)</w:t>
            </w:r>
          </w:p>
        </w:tc>
        <w:tc>
          <w:tcPr>
            <w:tcW w:w="1701" w:type="dxa"/>
            <w:shd w:val="clear" w:color="auto" w:fill="57A8C5"/>
          </w:tcPr>
          <w:p w:rsidR="006E2BBD" w:rsidRPr="000A7DB2" w:rsidRDefault="006E2BBD" w:rsidP="007825BA">
            <w:pPr>
              <w:jc w:val="both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Adequate</w:t>
            </w:r>
            <w:r w:rsidR="007825BA"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(3 points)</w:t>
            </w:r>
          </w:p>
        </w:tc>
        <w:tc>
          <w:tcPr>
            <w:tcW w:w="1701" w:type="dxa"/>
            <w:shd w:val="clear" w:color="auto" w:fill="57A8C5"/>
          </w:tcPr>
          <w:p w:rsidR="006E2BBD" w:rsidRPr="000A7DB2" w:rsidRDefault="006E2BBD" w:rsidP="007825BA">
            <w:pPr>
              <w:jc w:val="both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Poor</w:t>
            </w:r>
            <w:r w:rsidR="007825BA"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(1 point)</w:t>
            </w:r>
          </w:p>
        </w:tc>
        <w:tc>
          <w:tcPr>
            <w:tcW w:w="2126" w:type="dxa"/>
            <w:shd w:val="clear" w:color="auto" w:fill="57A8C5"/>
          </w:tcPr>
          <w:p w:rsidR="006E2BBD" w:rsidRPr="000A7DB2" w:rsidRDefault="006E2BBD" w:rsidP="007825BA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High Risk</w:t>
            </w:r>
            <w:r w:rsidR="007825BA"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(-5 points)</w:t>
            </w:r>
          </w:p>
        </w:tc>
        <w:tc>
          <w:tcPr>
            <w:tcW w:w="2126" w:type="dxa"/>
            <w:shd w:val="clear" w:color="auto" w:fill="57A8C5"/>
          </w:tcPr>
          <w:p w:rsidR="006E2BBD" w:rsidRPr="000A7DB2" w:rsidRDefault="006E2BBD" w:rsidP="007825BA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Extreme Risk</w:t>
            </w:r>
            <w:r w:rsidR="007825BA"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(-10 points)</w:t>
            </w:r>
          </w:p>
        </w:tc>
        <w:tc>
          <w:tcPr>
            <w:tcW w:w="2835" w:type="dxa"/>
            <w:shd w:val="clear" w:color="auto" w:fill="57A8C5"/>
          </w:tcPr>
          <w:p w:rsidR="006E2BBD" w:rsidRPr="000A7DB2" w:rsidRDefault="006E2BBD" w:rsidP="00C66D0F">
            <w:pPr>
              <w:jc w:val="both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cs="Arial"/>
                <w:b/>
                <w:color w:val="FFFFFF" w:themeColor="background1"/>
                <w:sz w:val="24"/>
                <w:szCs w:val="24"/>
              </w:rPr>
              <w:t>Calculation and comment</w:t>
            </w:r>
          </w:p>
        </w:tc>
      </w:tr>
      <w:tr w:rsidR="006E2BBD" w:rsidRPr="000A7DB2" w:rsidTr="00C66D0F">
        <w:tc>
          <w:tcPr>
            <w:tcW w:w="567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66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Net surplus pre shareholder wages and directors fees</w:t>
            </w:r>
          </w:p>
        </w:tc>
        <w:tc>
          <w:tcPr>
            <w:tcW w:w="159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8%+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0 to 8%+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0 to -8%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 xml:space="preserve">Loss&gt;8% of total </w:t>
            </w:r>
            <w:r w:rsidR="00782FEB" w:rsidRPr="000A7DB2">
              <w:rPr>
                <w:rFonts w:cs="Arial"/>
                <w:sz w:val="20"/>
                <w:szCs w:val="20"/>
              </w:rPr>
              <w:t>revenue or &gt;</w:t>
            </w:r>
            <w:r w:rsidRPr="000A7DB2">
              <w:rPr>
                <w:rFonts w:cs="Arial"/>
                <w:sz w:val="20"/>
                <w:szCs w:val="20"/>
              </w:rPr>
              <w:t>30% of total equity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Size of loss precludes PTE from meeting its bills as they fall due</w:t>
            </w:r>
          </w:p>
        </w:tc>
        <w:tc>
          <w:tcPr>
            <w:tcW w:w="2835" w:type="dxa"/>
          </w:tcPr>
          <w:p w:rsidR="006E2BBD" w:rsidRPr="000A7DB2" w:rsidRDefault="006E2BBD" w:rsidP="007825BA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Total surplus + shareholder wages + directors fees + subvention payments</w:t>
            </w:r>
            <w:r w:rsidR="007825BA" w:rsidRPr="000A7DB2">
              <w:rPr>
                <w:rFonts w:cs="Arial"/>
                <w:sz w:val="20"/>
                <w:szCs w:val="20"/>
              </w:rPr>
              <w:t>/T</w:t>
            </w:r>
            <w:r w:rsidRPr="000A7DB2">
              <w:rPr>
                <w:rFonts w:cs="Arial"/>
                <w:sz w:val="20"/>
                <w:szCs w:val="20"/>
              </w:rPr>
              <w:t>otal revenue</w:t>
            </w:r>
          </w:p>
        </w:tc>
      </w:tr>
      <w:tr w:rsidR="006E2BBD" w:rsidRPr="000A7DB2" w:rsidTr="00C66D0F">
        <w:tc>
          <w:tcPr>
            <w:tcW w:w="567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66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Variability in earnings year on year</w:t>
            </w:r>
          </w:p>
        </w:tc>
        <w:tc>
          <w:tcPr>
            <w:tcW w:w="9250" w:type="dxa"/>
            <w:gridSpan w:val="5"/>
          </w:tcPr>
          <w:p w:rsidR="006E2BBD" w:rsidRPr="000A7DB2" w:rsidRDefault="006E2BBD" w:rsidP="00C66D0F">
            <w:pPr>
              <w:rPr>
                <w:rFonts w:cs="Arial"/>
              </w:rPr>
            </w:pPr>
            <w:r w:rsidRPr="000A7DB2">
              <w:rPr>
                <w:rFonts w:cs="Arial"/>
                <w:sz w:val="20"/>
                <w:szCs w:val="20"/>
              </w:rPr>
              <w:t>Refer Variability in earnings table below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cs="Arial"/>
              </w:rPr>
            </w:pPr>
            <w:r w:rsidRPr="000A7DB2">
              <w:rPr>
                <w:rFonts w:cs="Arial"/>
                <w:sz w:val="20"/>
                <w:szCs w:val="20"/>
              </w:rPr>
              <w:t>This indicator looks at both the variability in earnings and the direction of travel</w:t>
            </w:r>
          </w:p>
        </w:tc>
      </w:tr>
      <w:tr w:rsidR="006E2BBD" w:rsidRPr="000A7DB2" w:rsidTr="00C66D0F">
        <w:tc>
          <w:tcPr>
            <w:tcW w:w="567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66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Shareholders’ funds ratio</w:t>
            </w:r>
          </w:p>
        </w:tc>
        <w:tc>
          <w:tcPr>
            <w:tcW w:w="159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75%+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60% to 75%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40% to 60%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Less than 40%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Zero or less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 xml:space="preserve">Total </w:t>
            </w:r>
            <w:r w:rsidR="00782FEB" w:rsidRPr="000A7DB2">
              <w:rPr>
                <w:rFonts w:cs="Arial"/>
                <w:sz w:val="20"/>
                <w:szCs w:val="20"/>
              </w:rPr>
              <w:t>e</w:t>
            </w:r>
            <w:r w:rsidRPr="000A7DB2">
              <w:rPr>
                <w:rFonts w:cs="Arial"/>
                <w:sz w:val="20"/>
                <w:szCs w:val="20"/>
              </w:rPr>
              <w:t>quity minus intangibles</w:t>
            </w:r>
            <w:r w:rsidR="007825BA" w:rsidRPr="000A7DB2">
              <w:rPr>
                <w:rFonts w:cs="Arial"/>
                <w:sz w:val="20"/>
                <w:szCs w:val="20"/>
              </w:rPr>
              <w:t>/T</w:t>
            </w:r>
            <w:r w:rsidRPr="000A7DB2">
              <w:rPr>
                <w:rFonts w:cs="Arial"/>
                <w:sz w:val="20"/>
                <w:szCs w:val="20"/>
              </w:rPr>
              <w:t>otal assets minus intangibles</w:t>
            </w:r>
            <w:r w:rsidR="00782FEB" w:rsidRPr="000A7DB2">
              <w:rPr>
                <w:rFonts w:cs="Arial"/>
                <w:sz w:val="20"/>
                <w:szCs w:val="20"/>
              </w:rPr>
              <w:t xml:space="preserve"> and pre-paid fees (liability)</w:t>
            </w:r>
          </w:p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Trust funds may need to be excluded from total tangible ass</w:t>
            </w:r>
            <w:r w:rsidR="00782FEB" w:rsidRPr="000A7DB2">
              <w:rPr>
                <w:rFonts w:cs="Arial"/>
                <w:sz w:val="20"/>
                <w:szCs w:val="20"/>
              </w:rPr>
              <w:t>ets if the amounts are material</w:t>
            </w:r>
          </w:p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Equity excludes Shareholder current accounts</w:t>
            </w:r>
          </w:p>
        </w:tc>
      </w:tr>
      <w:tr w:rsidR="006E2BBD" w:rsidRPr="000A7DB2" w:rsidTr="00C66D0F">
        <w:tc>
          <w:tcPr>
            <w:tcW w:w="567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66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 xml:space="preserve">Going concern attestation by auditor or reviewing independent </w:t>
            </w:r>
            <w:r w:rsidRPr="000A7DB2">
              <w:rPr>
                <w:rFonts w:cs="Arial"/>
                <w:sz w:val="20"/>
                <w:szCs w:val="20"/>
              </w:rPr>
              <w:lastRenderedPageBreak/>
              <w:t>accountant</w:t>
            </w:r>
          </w:p>
        </w:tc>
        <w:tc>
          <w:tcPr>
            <w:tcW w:w="159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 xml:space="preserve">Confirmation of going concern status by auditor of Big 10 international accounting firms </w:t>
            </w:r>
            <w:r w:rsidRPr="000A7DB2">
              <w:rPr>
                <w:rFonts w:cs="Arial"/>
                <w:sz w:val="20"/>
                <w:szCs w:val="20"/>
              </w:rPr>
              <w:lastRenderedPageBreak/>
              <w:t>(include: Deloitte, PWC, E&amp;Y, Grant Thornton, BDO) or OAG through an external audit opinion (must be for the latest accounts)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 xml:space="preserve">Confirmation of going concern status by auditor or reviewing independent accountant (must </w:t>
            </w:r>
            <w:r w:rsidRPr="000A7DB2">
              <w:rPr>
                <w:rFonts w:cs="Arial"/>
                <w:sz w:val="20"/>
                <w:szCs w:val="20"/>
              </w:rPr>
              <w:lastRenderedPageBreak/>
              <w:t>be for the latest accounts)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 xml:space="preserve">We have not been provided with an audit opinion/review report indicating a positive going </w:t>
            </w:r>
            <w:r w:rsidRPr="000A7DB2">
              <w:rPr>
                <w:rFonts w:cs="Arial"/>
                <w:sz w:val="20"/>
                <w:szCs w:val="20"/>
              </w:rPr>
              <w:lastRenderedPageBreak/>
              <w:t>concern assessment, or unconsolidated accounts have not been provided, or an attestation is positive but more than a year old</w:t>
            </w:r>
          </w:p>
        </w:tc>
        <w:tc>
          <w:tcPr>
            <w:tcW w:w="2126" w:type="dxa"/>
          </w:tcPr>
          <w:p w:rsidR="006E2BBD" w:rsidRPr="000A7DB2" w:rsidRDefault="006E2BBD" w:rsidP="00782FEB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 xml:space="preserve">Auditor or reviewing independent accountant questions aspects of the “going concern” test; e.g. “fundamental </w:t>
            </w:r>
            <w:r w:rsidRPr="000A7DB2">
              <w:rPr>
                <w:rFonts w:cs="Arial"/>
                <w:sz w:val="20"/>
                <w:szCs w:val="20"/>
              </w:rPr>
              <w:lastRenderedPageBreak/>
              <w:t>uncertainty” or “emphasis of matter” or notes inability to assess – or the</w:t>
            </w:r>
            <w:r w:rsidR="00782FEB" w:rsidRPr="000A7DB2">
              <w:rPr>
                <w:rFonts w:cs="Arial"/>
                <w:sz w:val="20"/>
                <w:szCs w:val="20"/>
              </w:rPr>
              <w:t xml:space="preserve"> </w:t>
            </w:r>
            <w:r w:rsidRPr="000A7DB2">
              <w:rPr>
                <w:rFonts w:cs="Arial"/>
                <w:sz w:val="20"/>
                <w:szCs w:val="20"/>
              </w:rPr>
              <w:t>TEC considers there is evidence the PTE may not be a going concern currently or in future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>Auditor or reviewing independent accountant considers th</w:t>
            </w:r>
            <w:r w:rsidR="00782FEB" w:rsidRPr="000A7DB2">
              <w:rPr>
                <w:rFonts w:cs="Arial"/>
                <w:sz w:val="20"/>
                <w:szCs w:val="20"/>
              </w:rPr>
              <w:t>e PTE not to be a going concern</w:t>
            </w:r>
          </w:p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>Failure of one or more of the solvency tests in the Companies Act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>Measures the outcome of the assessment</w:t>
            </w:r>
          </w:p>
        </w:tc>
      </w:tr>
      <w:tr w:rsidR="006E2BBD" w:rsidRPr="000A7DB2" w:rsidTr="00C66D0F">
        <w:tc>
          <w:tcPr>
            <w:tcW w:w="567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6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Other factors</w:t>
            </w:r>
          </w:p>
        </w:tc>
        <w:tc>
          <w:tcPr>
            <w:tcW w:w="159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Indications there may be factors with a negative bearing on the PTE’s financial viability. This includes possible future funding reductions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Concerns expressed by an external government agency, TEC IM, or TEC review of aspects of the PTE’s financial management capability or ability to generate a profit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Concerns expressed by a government agency, TEC IM, or TEC reviewer of “going concern” issues or other factors likely to have a material impact on the PTE’s solvency. Includes entities that receive a “zero allocation” letter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Evidence of insolvency (see Companies Act definition)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The factor considered must be verifiable, objective, evidence based and material. This does not exclude commercial judgements made by suitably qualified accountants</w:t>
            </w:r>
          </w:p>
        </w:tc>
      </w:tr>
      <w:tr w:rsidR="006E2BBD" w:rsidRPr="000A7DB2" w:rsidTr="00C66D0F">
        <w:tc>
          <w:tcPr>
            <w:tcW w:w="567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66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 xml:space="preserve">Meets funding commitments (prior year &amp; current year) </w:t>
            </w:r>
          </w:p>
        </w:tc>
        <w:tc>
          <w:tcPr>
            <w:tcW w:w="159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99% to 105% of contracted/ allocated provision at the start of the year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97% to 99%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90%-97%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Need for borrowing or TEC deferment of recovery to continue to operate or delivers less than 90% of allocated funding at start of year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Risk of failure to complete tuition to all students</w:t>
            </w:r>
          </w:p>
        </w:tc>
        <w:tc>
          <w:tcPr>
            <w:tcW w:w="2835" w:type="dxa"/>
          </w:tcPr>
          <w:p w:rsidR="006E2BBD" w:rsidRPr="000A7DB2" w:rsidRDefault="006E2BBD" w:rsidP="007825BA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Funding dollars delivered/funding dollars allocated. Across all TEC funds</w:t>
            </w:r>
          </w:p>
        </w:tc>
      </w:tr>
      <w:tr w:rsidR="006E2BBD" w:rsidRPr="000A7DB2" w:rsidTr="00C66D0F">
        <w:tc>
          <w:tcPr>
            <w:tcW w:w="567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66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Change in roll size (measured by EFTS)</w:t>
            </w:r>
          </w:p>
        </w:tc>
        <w:tc>
          <w:tcPr>
            <w:tcW w:w="159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EFTS increase year on year over the last three years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EFTS increase in current year over previous year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 xml:space="preserve">EFTS static (give or take 10 EFTS), or declining by less than 5% as a two year moving </w:t>
            </w:r>
            <w:r w:rsidRPr="000A7DB2">
              <w:rPr>
                <w:rFonts w:cs="Arial"/>
                <w:sz w:val="20"/>
                <w:szCs w:val="20"/>
              </w:rPr>
              <w:lastRenderedPageBreak/>
              <w:t>average when compared with prior two year period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>EFTS decline year on year over the last three years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EFTS decline by over 30% on prior year and/or TEC considering discontinuing funding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 xml:space="preserve">EFTS figures are from your last December full year SDR. </w:t>
            </w:r>
          </w:p>
          <w:p w:rsidR="006E2BBD" w:rsidRPr="000A7DB2" w:rsidRDefault="006E2BBD" w:rsidP="00DB0044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 xml:space="preserve">The TEC may use prospective year information if there is a </w:t>
            </w:r>
            <w:r w:rsidRPr="000A7DB2">
              <w:rPr>
                <w:rFonts w:cs="Arial"/>
                <w:sz w:val="20"/>
                <w:szCs w:val="20"/>
              </w:rPr>
              <w:lastRenderedPageBreak/>
              <w:t>risk of EFTS enrolment underachievement</w:t>
            </w:r>
          </w:p>
        </w:tc>
      </w:tr>
      <w:tr w:rsidR="006E2BBD" w:rsidRPr="000A7DB2" w:rsidTr="00C66D0F">
        <w:tc>
          <w:tcPr>
            <w:tcW w:w="567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6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Total revenue</w:t>
            </w:r>
          </w:p>
        </w:tc>
        <w:tc>
          <w:tcPr>
            <w:tcW w:w="159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Increases year on year over the last three years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Increases in current year over previous year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Income static or declining/ increasing by less than 5% as a two year moving average compared with the previous two years (e.g. compares 2015 and 2014 with 2013 and 2012)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Total revenue declines year on year over the last three years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Total revenue declines by over 30% on prior year or TEC considering discontinuing funding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Total revenue from all sources. Based on the most r</w:t>
            </w:r>
            <w:r w:rsidR="00DB0044" w:rsidRPr="000A7DB2">
              <w:rPr>
                <w:rFonts w:cs="Arial"/>
                <w:sz w:val="20"/>
                <w:szCs w:val="20"/>
              </w:rPr>
              <w:t>ecent annual financial accounts</w:t>
            </w:r>
          </w:p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The TEC reserves the right to use prospective information if there is a risk of total revenue materially declining</w:t>
            </w:r>
          </w:p>
        </w:tc>
      </w:tr>
      <w:tr w:rsidR="006E2BBD" w:rsidRPr="000A7DB2" w:rsidTr="00C66D0F">
        <w:tc>
          <w:tcPr>
            <w:tcW w:w="567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66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Interest coverage ratio</w:t>
            </w:r>
          </w:p>
        </w:tc>
        <w:tc>
          <w:tcPr>
            <w:tcW w:w="159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Greater than 12.0:1 or “Divide by zeros” or interest costs under $10,000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Greater than 3.0:1 but less than 12.0:1</w:t>
            </w:r>
          </w:p>
        </w:tc>
        <w:tc>
          <w:tcPr>
            <w:tcW w:w="1701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Greater than 1.5:1 but less than 3.0:1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Less than 1.5:1 but greater than 1.0:1</w:t>
            </w:r>
          </w:p>
        </w:tc>
        <w:tc>
          <w:tcPr>
            <w:tcW w:w="2126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>Less than 1.0:1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cs="Arial"/>
                <w:sz w:val="20"/>
                <w:szCs w:val="20"/>
              </w:rPr>
            </w:pPr>
            <w:r w:rsidRPr="000A7DB2">
              <w:rPr>
                <w:rFonts w:cs="Arial"/>
                <w:sz w:val="20"/>
                <w:szCs w:val="20"/>
              </w:rPr>
              <w:t xml:space="preserve">Earnings before interest expense and </w:t>
            </w:r>
            <w:r w:rsidR="00503F91" w:rsidRPr="000A7DB2">
              <w:rPr>
                <w:rFonts w:cs="Arial"/>
                <w:sz w:val="20"/>
                <w:szCs w:val="20"/>
              </w:rPr>
              <w:t>tax divided by interest expense</w:t>
            </w:r>
          </w:p>
        </w:tc>
      </w:tr>
    </w:tbl>
    <w:p w:rsidR="006E2BBD" w:rsidRPr="000A7DB2" w:rsidRDefault="006E2BBD" w:rsidP="006E2BBD">
      <w:pPr>
        <w:rPr>
          <w:rFonts w:eastAsia="Times New Roman" w:cs="Arial"/>
          <w:i/>
          <w:sz w:val="24"/>
          <w:szCs w:val="24"/>
        </w:rPr>
      </w:pPr>
    </w:p>
    <w:p w:rsidR="006E2BBD" w:rsidRPr="000A7DB2" w:rsidRDefault="006E2BBD" w:rsidP="006E2BBD">
      <w:pPr>
        <w:rPr>
          <w:rFonts w:eastAsia="Times New Roman" w:cs="Arial"/>
          <w:i/>
          <w:sz w:val="24"/>
          <w:szCs w:val="24"/>
        </w:rPr>
      </w:pPr>
      <w:r w:rsidRPr="000A7DB2">
        <w:rPr>
          <w:rFonts w:eastAsia="Times New Roman" w:cs="Arial"/>
          <w:i/>
          <w:sz w:val="24"/>
          <w:szCs w:val="24"/>
        </w:rPr>
        <w:br w:type="page"/>
      </w:r>
    </w:p>
    <w:p w:rsidR="006E2BBD" w:rsidRPr="000A7DB2" w:rsidRDefault="006E2BBD" w:rsidP="006E2BBD">
      <w:pPr>
        <w:rPr>
          <w:rFonts w:eastAsia="Times New Roman" w:cs="Arial"/>
          <w:i/>
        </w:rPr>
      </w:pPr>
      <w:r w:rsidRPr="000A7DB2">
        <w:rPr>
          <w:rFonts w:eastAsia="Times New Roman" w:cs="Arial"/>
          <w:i/>
          <w:sz w:val="24"/>
          <w:szCs w:val="24"/>
        </w:rPr>
        <w:lastRenderedPageBreak/>
        <w:t>E</w:t>
      </w:r>
      <w:r w:rsidRPr="000A7DB2">
        <w:rPr>
          <w:rFonts w:eastAsia="Times New Roman" w:cs="Arial"/>
          <w:i/>
        </w:rPr>
        <w:t xml:space="preserve">arnings variability </w:t>
      </w:r>
    </w:p>
    <w:p w:rsidR="006E2BBD" w:rsidRPr="000A7DB2" w:rsidRDefault="006E2BBD" w:rsidP="006E2BBD">
      <w:pPr>
        <w:rPr>
          <w:rFonts w:eastAsia="Times New Roman" w:cs="Arial"/>
        </w:rPr>
      </w:pPr>
      <w:r w:rsidRPr="000A7DB2">
        <w:rPr>
          <w:rFonts w:eastAsia="Times New Roman" w:cs="Arial"/>
        </w:rPr>
        <w:t xml:space="preserve">The following table looks at how the </w:t>
      </w:r>
      <w:r w:rsidR="00DB0044" w:rsidRPr="000A7DB2">
        <w:rPr>
          <w:rFonts w:eastAsia="Times New Roman" w:cs="Arial"/>
        </w:rPr>
        <w:t xml:space="preserve">Net </w:t>
      </w:r>
      <w:r w:rsidRPr="000A7DB2">
        <w:rPr>
          <w:rFonts w:eastAsia="Times New Roman" w:cs="Arial"/>
        </w:rPr>
        <w:t xml:space="preserve">surplus to </w:t>
      </w:r>
      <w:r w:rsidR="00DB0044" w:rsidRPr="000A7DB2">
        <w:rPr>
          <w:rFonts w:eastAsia="Times New Roman" w:cs="Arial"/>
        </w:rPr>
        <w:t>Total revenue</w:t>
      </w:r>
      <w:r w:rsidRPr="000A7DB2">
        <w:rPr>
          <w:rFonts w:eastAsia="Times New Roman" w:cs="Arial"/>
        </w:rPr>
        <w:t xml:space="preserve"> financial indicator has changed over time. The risk category and score assigned in column 1 depends upon the observable characteristics in the further columns.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1384"/>
        <w:gridCol w:w="2977"/>
        <w:gridCol w:w="2835"/>
        <w:gridCol w:w="2268"/>
        <w:gridCol w:w="1984"/>
        <w:gridCol w:w="2726"/>
      </w:tblGrid>
      <w:tr w:rsidR="000A7DB2" w:rsidRPr="000A7DB2" w:rsidTr="000A7DB2">
        <w:tc>
          <w:tcPr>
            <w:tcW w:w="1384" w:type="dxa"/>
            <w:tcBorders>
              <w:bottom w:val="single" w:sz="4" w:space="0" w:color="auto"/>
            </w:tcBorders>
            <w:shd w:val="clear" w:color="auto" w:fill="57A8C5"/>
          </w:tcPr>
          <w:p w:rsidR="006E2BBD" w:rsidRPr="000A7DB2" w:rsidRDefault="006E2BBD" w:rsidP="00C66D0F">
            <w:pPr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7A8C5"/>
          </w:tcPr>
          <w:p w:rsidR="006E2BBD" w:rsidRPr="000A7DB2" w:rsidRDefault="006E2BBD" w:rsidP="00C66D0F">
            <w:pPr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Net Surplus </w:t>
            </w:r>
          </w:p>
        </w:tc>
        <w:tc>
          <w:tcPr>
            <w:tcW w:w="2835" w:type="dxa"/>
            <w:shd w:val="clear" w:color="auto" w:fill="57A8C5"/>
          </w:tcPr>
          <w:p w:rsidR="006E2BBD" w:rsidRPr="000A7DB2" w:rsidRDefault="006E2BBD" w:rsidP="00C66D0F">
            <w:pPr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Financial results</w:t>
            </w:r>
          </w:p>
        </w:tc>
        <w:tc>
          <w:tcPr>
            <w:tcW w:w="2268" w:type="dxa"/>
            <w:shd w:val="clear" w:color="auto" w:fill="57A8C5"/>
          </w:tcPr>
          <w:p w:rsidR="006E2BBD" w:rsidRPr="000A7DB2" w:rsidRDefault="006E2BBD" w:rsidP="00C66D0F">
            <w:pPr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Ratio Variability</w:t>
            </w:r>
          </w:p>
        </w:tc>
        <w:tc>
          <w:tcPr>
            <w:tcW w:w="1984" w:type="dxa"/>
            <w:shd w:val="clear" w:color="auto" w:fill="57A8C5"/>
          </w:tcPr>
          <w:p w:rsidR="006E2BBD" w:rsidRPr="000A7DB2" w:rsidRDefault="006E2BBD" w:rsidP="00C66D0F">
            <w:pPr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Direction of travel</w:t>
            </w:r>
          </w:p>
        </w:tc>
        <w:tc>
          <w:tcPr>
            <w:tcW w:w="2726" w:type="dxa"/>
            <w:shd w:val="clear" w:color="auto" w:fill="57A8C5"/>
          </w:tcPr>
          <w:p w:rsidR="006E2BBD" w:rsidRPr="000A7DB2" w:rsidRDefault="006E2BBD" w:rsidP="00C66D0F">
            <w:pPr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0A7DB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Comment</w:t>
            </w:r>
          </w:p>
        </w:tc>
      </w:tr>
      <w:tr w:rsidR="006E2BBD" w:rsidRPr="000A7DB2" w:rsidTr="00C66D0F">
        <w:tc>
          <w:tcPr>
            <w:tcW w:w="1384" w:type="dxa"/>
            <w:tcBorders>
              <w:bottom w:val="nil"/>
            </w:tcBorders>
          </w:tcPr>
          <w:p w:rsidR="006E2BBD" w:rsidRPr="000A7DB2" w:rsidRDefault="00C15E2C" w:rsidP="00C15E2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0A7DB2">
              <w:rPr>
                <w:rFonts w:eastAsia="Times New Roman" w:cs="Arial"/>
                <w:b/>
                <w:sz w:val="20"/>
                <w:szCs w:val="20"/>
              </w:rPr>
              <w:t>Strong</w:t>
            </w:r>
            <w:r w:rsidRPr="000A7DB2">
              <w:rPr>
                <w:rFonts w:eastAsia="Times New Roman" w:cs="Arial"/>
                <w:b/>
                <w:sz w:val="20"/>
                <w:szCs w:val="20"/>
              </w:rPr>
              <w:br/>
            </w:r>
            <w:r w:rsidR="006E2BBD" w:rsidRPr="000A7DB2">
              <w:rPr>
                <w:rFonts w:eastAsia="Times New Roman" w:cs="Arial"/>
                <w:b/>
                <w:sz w:val="20"/>
                <w:szCs w:val="20"/>
              </w:rPr>
              <w:t>(score 5)</w:t>
            </w: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net surplus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Previous two years of surplus and outlook is a surplus</w:t>
            </w:r>
          </w:p>
        </w:tc>
        <w:tc>
          <w:tcPr>
            <w:tcW w:w="2268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Less than 300 percentage points</w:t>
            </w:r>
          </w:p>
        </w:tc>
        <w:tc>
          <w:tcPr>
            <w:tcW w:w="1984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Improving ratio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Must have all characteristics</w:t>
            </w:r>
          </w:p>
        </w:tc>
      </w:tr>
      <w:tr w:rsidR="006E2BBD" w:rsidRPr="000A7DB2" w:rsidTr="00C66D0F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6E2BBD" w:rsidRPr="000A7DB2" w:rsidRDefault="006E2BBD" w:rsidP="00C66D0F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Latest net surplus above 20%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Previous year in surplus</w:t>
            </w:r>
          </w:p>
        </w:tc>
        <w:tc>
          <w:tcPr>
            <w:tcW w:w="2268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Less than 500 percentage points</w:t>
            </w:r>
          </w:p>
        </w:tc>
        <w:tc>
          <w:tcPr>
            <w:tcW w:w="1984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or negative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Must have all characteristics</w:t>
            </w:r>
          </w:p>
        </w:tc>
      </w:tr>
      <w:tr w:rsidR="006E2BBD" w:rsidRPr="000A7DB2" w:rsidTr="00C66D0F">
        <w:tc>
          <w:tcPr>
            <w:tcW w:w="1384" w:type="dxa"/>
            <w:tcBorders>
              <w:bottom w:val="nil"/>
            </w:tcBorders>
          </w:tcPr>
          <w:p w:rsidR="006E2BBD" w:rsidRPr="000A7DB2" w:rsidRDefault="006E2BBD" w:rsidP="00C66D0F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0A7DB2">
              <w:rPr>
                <w:rFonts w:eastAsia="Times New Roman" w:cs="Arial"/>
                <w:b/>
                <w:sz w:val="20"/>
                <w:szCs w:val="20"/>
              </w:rPr>
              <w:t>Adequate (score 3)</w:t>
            </w: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net surplus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Previous year in surplus</w:t>
            </w:r>
          </w:p>
        </w:tc>
        <w:tc>
          <w:tcPr>
            <w:tcW w:w="2268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Less than 500 percentage points</w:t>
            </w:r>
          </w:p>
        </w:tc>
        <w:tc>
          <w:tcPr>
            <w:tcW w:w="1984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Improving ratio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Must have all characteristics</w:t>
            </w:r>
          </w:p>
        </w:tc>
      </w:tr>
      <w:tr w:rsidR="006E2BBD" w:rsidRPr="000A7DB2" w:rsidTr="00C66D0F">
        <w:tc>
          <w:tcPr>
            <w:tcW w:w="1384" w:type="dxa"/>
            <w:tcBorders>
              <w:top w:val="nil"/>
              <w:bottom w:val="nil"/>
            </w:tcBorders>
          </w:tcPr>
          <w:p w:rsidR="006E2BBD" w:rsidRPr="000A7DB2" w:rsidRDefault="006E2BBD" w:rsidP="00C66D0F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Latest net surplus above 20%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Previous year in surplus</w:t>
            </w:r>
          </w:p>
        </w:tc>
        <w:tc>
          <w:tcPr>
            <w:tcW w:w="2268" w:type="dxa"/>
          </w:tcPr>
          <w:p w:rsidR="006E2BBD" w:rsidRPr="000A7DB2" w:rsidRDefault="006E2BBD" w:rsidP="00930D52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Less than 700 percentage points</w:t>
            </w:r>
          </w:p>
        </w:tc>
        <w:tc>
          <w:tcPr>
            <w:tcW w:w="1984" w:type="dxa"/>
          </w:tcPr>
          <w:p w:rsidR="006E2BBD" w:rsidRPr="000A7DB2" w:rsidRDefault="00C15E2C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or negative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Must have all characteristics</w:t>
            </w:r>
          </w:p>
        </w:tc>
      </w:tr>
      <w:tr w:rsidR="006E2BBD" w:rsidRPr="000A7DB2" w:rsidTr="00C66D0F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6E2BBD" w:rsidRPr="000A7DB2" w:rsidRDefault="006E2BBD" w:rsidP="00C66D0F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net surplus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 xml:space="preserve">Previous two years in surplus </w:t>
            </w:r>
          </w:p>
        </w:tc>
        <w:tc>
          <w:tcPr>
            <w:tcW w:w="2268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Less than 500 basis points</w:t>
            </w:r>
          </w:p>
        </w:tc>
        <w:tc>
          <w:tcPr>
            <w:tcW w:w="1984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or negative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Must have all characteristics</w:t>
            </w:r>
          </w:p>
        </w:tc>
      </w:tr>
      <w:tr w:rsidR="006E2BBD" w:rsidRPr="000A7DB2" w:rsidTr="00C66D0F">
        <w:tc>
          <w:tcPr>
            <w:tcW w:w="1384" w:type="dxa"/>
            <w:tcBorders>
              <w:bottom w:val="nil"/>
            </w:tcBorders>
          </w:tcPr>
          <w:p w:rsidR="006E2BBD" w:rsidRPr="000A7DB2" w:rsidRDefault="006E2BBD" w:rsidP="00C15E2C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0A7DB2">
              <w:rPr>
                <w:rFonts w:eastAsia="Times New Roman" w:cs="Arial"/>
                <w:b/>
                <w:sz w:val="20"/>
                <w:szCs w:val="20"/>
              </w:rPr>
              <w:t>Poor</w:t>
            </w:r>
            <w:r w:rsidR="00C15E2C" w:rsidRPr="000A7DB2">
              <w:rPr>
                <w:rFonts w:eastAsia="Times New Roman" w:cs="Arial"/>
                <w:b/>
                <w:sz w:val="20"/>
                <w:szCs w:val="20"/>
              </w:rPr>
              <w:br/>
            </w:r>
            <w:r w:rsidRPr="000A7DB2">
              <w:rPr>
                <w:rFonts w:eastAsia="Times New Roman" w:cs="Arial"/>
                <w:b/>
                <w:sz w:val="20"/>
                <w:szCs w:val="20"/>
              </w:rPr>
              <w:t>(score 1)</w:t>
            </w: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net surplus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Previous year in surplus or loss</w:t>
            </w:r>
          </w:p>
        </w:tc>
        <w:tc>
          <w:tcPr>
            <w:tcW w:w="2268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Less than 700 percentage points</w:t>
            </w:r>
          </w:p>
        </w:tc>
        <w:tc>
          <w:tcPr>
            <w:tcW w:w="1984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or negative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Choose best description of characteristics here or below</w:t>
            </w:r>
          </w:p>
        </w:tc>
      </w:tr>
      <w:tr w:rsidR="006E2BBD" w:rsidRPr="000A7DB2" w:rsidTr="00C66D0F">
        <w:tc>
          <w:tcPr>
            <w:tcW w:w="1384" w:type="dxa"/>
            <w:tcBorders>
              <w:top w:val="nil"/>
              <w:bottom w:val="nil"/>
            </w:tcBorders>
          </w:tcPr>
          <w:p w:rsidR="006E2BBD" w:rsidRPr="000A7DB2" w:rsidRDefault="006E2BBD" w:rsidP="00C66D0F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Net loss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Previous year in surplus or loss</w:t>
            </w:r>
          </w:p>
        </w:tc>
        <w:tc>
          <w:tcPr>
            <w:tcW w:w="2268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Less than 300 basis points</w:t>
            </w:r>
          </w:p>
        </w:tc>
        <w:tc>
          <w:tcPr>
            <w:tcW w:w="1984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or negative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Choose best fit</w:t>
            </w:r>
          </w:p>
        </w:tc>
      </w:tr>
      <w:tr w:rsidR="006E2BBD" w:rsidRPr="000A7DB2" w:rsidTr="00C66D0F">
        <w:tc>
          <w:tcPr>
            <w:tcW w:w="1384" w:type="dxa"/>
            <w:tcBorders>
              <w:top w:val="nil"/>
              <w:bottom w:val="nil"/>
            </w:tcBorders>
          </w:tcPr>
          <w:p w:rsidR="006E2BBD" w:rsidRPr="000A7DB2" w:rsidRDefault="006E2BBD" w:rsidP="00C66D0F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Latest net surplus above 20%</w:t>
            </w:r>
          </w:p>
        </w:tc>
        <w:tc>
          <w:tcPr>
            <w:tcW w:w="2835" w:type="dxa"/>
          </w:tcPr>
          <w:p w:rsidR="006E2BBD" w:rsidRPr="000A7DB2" w:rsidRDefault="006E2BBD" w:rsidP="00930D52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Previous year i</w:t>
            </w:r>
            <w:r w:rsidR="00930D52" w:rsidRPr="000A7DB2">
              <w:rPr>
                <w:rFonts w:eastAsia="Times New Roman" w:cs="Arial"/>
                <w:sz w:val="20"/>
                <w:szCs w:val="20"/>
              </w:rPr>
              <w:t>n</w:t>
            </w:r>
            <w:r w:rsidRPr="000A7DB2">
              <w:rPr>
                <w:rFonts w:eastAsia="Times New Roman" w:cs="Arial"/>
                <w:sz w:val="20"/>
                <w:szCs w:val="20"/>
              </w:rPr>
              <w:t xml:space="preserve"> surplus or loss</w:t>
            </w:r>
          </w:p>
        </w:tc>
        <w:tc>
          <w:tcPr>
            <w:tcW w:w="2268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Less than 1000 percentage points</w:t>
            </w:r>
          </w:p>
        </w:tc>
        <w:tc>
          <w:tcPr>
            <w:tcW w:w="1984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or negative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Choose best fit</w:t>
            </w:r>
          </w:p>
        </w:tc>
      </w:tr>
      <w:tr w:rsidR="006E2BBD" w:rsidRPr="000A7DB2" w:rsidTr="00C66D0F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6E2BBD" w:rsidRPr="000A7DB2" w:rsidRDefault="006E2BBD" w:rsidP="00C66D0F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net surplus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Previous two years of surplus</w:t>
            </w:r>
          </w:p>
        </w:tc>
        <w:tc>
          <w:tcPr>
            <w:tcW w:w="2268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Above 500 percentage points</w:t>
            </w:r>
          </w:p>
        </w:tc>
        <w:tc>
          <w:tcPr>
            <w:tcW w:w="1984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or negative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Choose best fit</w:t>
            </w:r>
          </w:p>
        </w:tc>
      </w:tr>
      <w:tr w:rsidR="006E2BBD" w:rsidRPr="000A7DB2" w:rsidTr="00C66D0F">
        <w:tc>
          <w:tcPr>
            <w:tcW w:w="1384" w:type="dxa"/>
            <w:tcBorders>
              <w:bottom w:val="nil"/>
            </w:tcBorders>
          </w:tcPr>
          <w:p w:rsidR="006E2BBD" w:rsidRPr="000A7DB2" w:rsidRDefault="006E2BBD" w:rsidP="00C66D0F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0A7DB2">
              <w:rPr>
                <w:rFonts w:eastAsia="Times New Roman" w:cs="Arial"/>
                <w:b/>
                <w:sz w:val="20"/>
                <w:szCs w:val="20"/>
              </w:rPr>
              <w:t>High risk (score -5)</w:t>
            </w: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net surplus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Previous year in surplus or loss</w:t>
            </w:r>
          </w:p>
        </w:tc>
        <w:tc>
          <w:tcPr>
            <w:tcW w:w="2268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Above 700 percentage points</w:t>
            </w:r>
          </w:p>
        </w:tc>
        <w:tc>
          <w:tcPr>
            <w:tcW w:w="1984" w:type="dxa"/>
          </w:tcPr>
          <w:p w:rsidR="006E2BBD" w:rsidRPr="000A7DB2" w:rsidRDefault="00C15E2C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or negative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Choose best fit</w:t>
            </w:r>
          </w:p>
        </w:tc>
      </w:tr>
      <w:tr w:rsidR="006E2BBD" w:rsidRPr="000A7DB2" w:rsidTr="00C66D0F">
        <w:tc>
          <w:tcPr>
            <w:tcW w:w="1384" w:type="dxa"/>
            <w:tcBorders>
              <w:top w:val="nil"/>
              <w:bottom w:val="nil"/>
            </w:tcBorders>
          </w:tcPr>
          <w:p w:rsidR="006E2BBD" w:rsidRPr="000A7DB2" w:rsidRDefault="006E2BBD" w:rsidP="00C66D0F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Net loss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Previous year in surplus or loss</w:t>
            </w:r>
          </w:p>
        </w:tc>
        <w:tc>
          <w:tcPr>
            <w:tcW w:w="2268" w:type="dxa"/>
          </w:tcPr>
          <w:p w:rsidR="006E2BBD" w:rsidRPr="000A7DB2" w:rsidRDefault="00930D52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Above 300 percentage points</w:t>
            </w:r>
          </w:p>
        </w:tc>
        <w:tc>
          <w:tcPr>
            <w:tcW w:w="1984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Positive or negative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Choose best fit</w:t>
            </w:r>
          </w:p>
        </w:tc>
      </w:tr>
      <w:tr w:rsidR="006E2BBD" w:rsidRPr="000A7DB2" w:rsidTr="00C66D0F">
        <w:tc>
          <w:tcPr>
            <w:tcW w:w="1384" w:type="dxa"/>
            <w:tcBorders>
              <w:top w:val="nil"/>
              <w:bottom w:val="nil"/>
            </w:tcBorders>
          </w:tcPr>
          <w:p w:rsidR="006E2BBD" w:rsidRPr="000A7DB2" w:rsidRDefault="006E2BBD" w:rsidP="00C66D0F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Net loss greater than 50% of previous year’s total equity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Previous year is a loss</w:t>
            </w:r>
          </w:p>
        </w:tc>
        <w:tc>
          <w:tcPr>
            <w:tcW w:w="2268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Not a factor</w:t>
            </w:r>
          </w:p>
        </w:tc>
        <w:tc>
          <w:tcPr>
            <w:tcW w:w="1984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Not a factor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Choose best fit</w:t>
            </w:r>
          </w:p>
        </w:tc>
      </w:tr>
      <w:tr w:rsidR="006E2BBD" w:rsidRPr="000A7DB2" w:rsidTr="00C66D0F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6E2BBD" w:rsidRPr="000A7DB2" w:rsidRDefault="006E2BBD" w:rsidP="00C66D0F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Net loss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Previous two years of losses</w:t>
            </w:r>
          </w:p>
        </w:tc>
        <w:tc>
          <w:tcPr>
            <w:tcW w:w="2268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Not a factor</w:t>
            </w:r>
          </w:p>
        </w:tc>
        <w:tc>
          <w:tcPr>
            <w:tcW w:w="1984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Not a factor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Choose best fit</w:t>
            </w:r>
          </w:p>
        </w:tc>
      </w:tr>
      <w:tr w:rsidR="006E2BBD" w:rsidRPr="000A7DB2" w:rsidTr="00C66D0F">
        <w:tc>
          <w:tcPr>
            <w:tcW w:w="1384" w:type="dxa"/>
            <w:tcBorders>
              <w:bottom w:val="nil"/>
            </w:tcBorders>
          </w:tcPr>
          <w:p w:rsidR="006E2BBD" w:rsidRPr="000A7DB2" w:rsidRDefault="006E2BBD" w:rsidP="00C66D0F">
            <w:pPr>
              <w:rPr>
                <w:rFonts w:eastAsia="Times New Roman" w:cs="Arial"/>
                <w:b/>
                <w:sz w:val="20"/>
                <w:szCs w:val="20"/>
              </w:rPr>
            </w:pPr>
            <w:r w:rsidRPr="000A7DB2">
              <w:rPr>
                <w:rFonts w:eastAsia="Times New Roman" w:cs="Arial"/>
                <w:b/>
                <w:sz w:val="20"/>
                <w:szCs w:val="20"/>
              </w:rPr>
              <w:t>Extreme risk (score -10)</w:t>
            </w: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Net loss greater than the previous year’s or the existing year’s net tangible assets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Not a factor</w:t>
            </w:r>
          </w:p>
        </w:tc>
        <w:tc>
          <w:tcPr>
            <w:tcW w:w="2268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Not a factor</w:t>
            </w:r>
          </w:p>
        </w:tc>
        <w:tc>
          <w:tcPr>
            <w:tcW w:w="1984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Not a factor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Must have characteristic. If met then use this category</w:t>
            </w:r>
          </w:p>
        </w:tc>
      </w:tr>
      <w:tr w:rsidR="006E2BBD" w:rsidRPr="000A7DB2" w:rsidTr="00C66D0F">
        <w:tc>
          <w:tcPr>
            <w:tcW w:w="1384" w:type="dxa"/>
            <w:tcBorders>
              <w:top w:val="nil"/>
            </w:tcBorders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Two years of losses and forecast loss for current budget year</w:t>
            </w:r>
          </w:p>
        </w:tc>
        <w:tc>
          <w:tcPr>
            <w:tcW w:w="2835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Not a factor</w:t>
            </w:r>
          </w:p>
        </w:tc>
        <w:tc>
          <w:tcPr>
            <w:tcW w:w="2268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Not a factor</w:t>
            </w:r>
          </w:p>
        </w:tc>
        <w:tc>
          <w:tcPr>
            <w:tcW w:w="1984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Not a factor</w:t>
            </w:r>
          </w:p>
        </w:tc>
        <w:tc>
          <w:tcPr>
            <w:tcW w:w="2726" w:type="dxa"/>
          </w:tcPr>
          <w:p w:rsidR="006E2BBD" w:rsidRPr="000A7DB2" w:rsidRDefault="006E2BBD" w:rsidP="00C66D0F">
            <w:pPr>
              <w:rPr>
                <w:rFonts w:eastAsia="Times New Roman" w:cs="Arial"/>
                <w:sz w:val="20"/>
                <w:szCs w:val="20"/>
              </w:rPr>
            </w:pPr>
            <w:r w:rsidRPr="000A7DB2">
              <w:rPr>
                <w:rFonts w:eastAsia="Times New Roman" w:cs="Arial"/>
                <w:sz w:val="20"/>
                <w:szCs w:val="20"/>
              </w:rPr>
              <w:t>Must have characteristic. If met then use this category</w:t>
            </w:r>
          </w:p>
        </w:tc>
      </w:tr>
    </w:tbl>
    <w:p w:rsidR="00FC743E" w:rsidRPr="000A7DB2" w:rsidRDefault="00FC743E"/>
    <w:p w:rsidR="00FC743E" w:rsidRPr="000A7DB2" w:rsidRDefault="00FC743E">
      <w:pPr>
        <w:spacing w:after="200" w:line="276" w:lineRule="auto"/>
        <w:sectPr w:rsidR="00FC743E" w:rsidRPr="000A7DB2" w:rsidSect="006E2BBD"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FC743E" w:rsidRPr="000A7DB2" w:rsidRDefault="00FC743E" w:rsidP="00FC743E">
      <w:pPr>
        <w:rPr>
          <w:rFonts w:ascii="Georgia" w:eastAsia="Times New Roman" w:hAnsi="Georgia" w:cs="Arial"/>
          <w:b/>
          <w:sz w:val="28"/>
          <w:szCs w:val="28"/>
          <w:lang w:val="en-GB"/>
        </w:rPr>
      </w:pPr>
      <w:r w:rsidRPr="000A7DB2">
        <w:rPr>
          <w:rFonts w:ascii="Georgia" w:eastAsia="Times New Roman" w:hAnsi="Georgia" w:cs="Arial"/>
          <w:b/>
          <w:sz w:val="28"/>
          <w:szCs w:val="28"/>
          <w:lang w:val="en-GB"/>
        </w:rPr>
        <w:lastRenderedPageBreak/>
        <w:t>Table Three: Calculating the overall financial viability risk score</w:t>
      </w:r>
    </w:p>
    <w:p w:rsidR="00FC743E" w:rsidRPr="000A7DB2" w:rsidRDefault="00FC743E" w:rsidP="00FC743E">
      <w:pPr>
        <w:rPr>
          <w:rFonts w:eastAsia="Times New Roman" w:cs="Arial"/>
        </w:rPr>
      </w:pPr>
      <w:r w:rsidRPr="000A7DB2">
        <w:rPr>
          <w:rFonts w:eastAsia="Times New Roman" w:cs="Arial"/>
        </w:rPr>
        <w:t>For each financial indicator used, including the prudential financial standards, a score is assigned. By summing the scores and dividing by the number of indicators it is possible to assign a PTE an overall score (ranging from -10 to 5). The higher the score the stronger the financial viability is.</w:t>
      </w:r>
    </w:p>
    <w:p w:rsidR="00FC743E" w:rsidRPr="000A7DB2" w:rsidRDefault="00FC743E" w:rsidP="00FC743E">
      <w:pPr>
        <w:rPr>
          <w:rFonts w:eastAsia="Times New Roman" w:cs="Arial"/>
        </w:rPr>
      </w:pPr>
      <w:r w:rsidRPr="000A7DB2">
        <w:rPr>
          <w:rFonts w:eastAsia="Times New Roman" w:cs="Arial"/>
        </w:rPr>
        <w:t>A PTE’s overall risk classification is then determined two ways:</w:t>
      </w:r>
    </w:p>
    <w:p w:rsidR="00FC743E" w:rsidRPr="000A7DB2" w:rsidRDefault="00FC743E" w:rsidP="00FC743E">
      <w:pPr>
        <w:numPr>
          <w:ilvl w:val="0"/>
          <w:numId w:val="1"/>
        </w:numPr>
        <w:spacing w:before="240"/>
        <w:ind w:left="851" w:hanging="284"/>
        <w:rPr>
          <w:rFonts w:eastAsia="Times New Roman" w:cs="Arial"/>
        </w:rPr>
      </w:pPr>
      <w:r w:rsidRPr="000A7DB2">
        <w:rPr>
          <w:rFonts w:eastAsia="Times New Roman" w:cs="Arial"/>
        </w:rPr>
        <w:t xml:space="preserve">PTEs that fail the minimum prudential financial standards for their last set of accounts or current budget automatically receive either a High (D) or Extreme (E) risk grade. If a PTE does not meet the minimum prudential financial standards, but </w:t>
      </w:r>
      <w:r w:rsidRPr="000A7DB2">
        <w:rPr>
          <w:rFonts w:cs="Arial"/>
        </w:rPr>
        <w:t>its overall risk indicator score is calculated as a (C) or better then the PTE will be assigned a High risk (D) category</w:t>
      </w:r>
      <w:r w:rsidRPr="000A7DB2">
        <w:rPr>
          <w:rFonts w:eastAsia="Times New Roman" w:cs="Arial"/>
        </w:rPr>
        <w:t xml:space="preserve">, otherwise the PTE is categorised as Extreme </w:t>
      </w:r>
      <w:r w:rsidR="00C00531">
        <w:rPr>
          <w:rFonts w:eastAsia="Times New Roman" w:cs="Arial"/>
        </w:rPr>
        <w:t>r</w:t>
      </w:r>
      <w:r w:rsidR="00C00531" w:rsidRPr="000A7DB2">
        <w:rPr>
          <w:rFonts w:eastAsia="Times New Roman" w:cs="Arial"/>
        </w:rPr>
        <w:t>isk (</w:t>
      </w:r>
      <w:r w:rsidRPr="000A7DB2">
        <w:rPr>
          <w:rFonts w:eastAsia="Times New Roman" w:cs="Arial"/>
        </w:rPr>
        <w:t>E)</w:t>
      </w:r>
      <w:r w:rsidR="00AF6BEB" w:rsidRPr="000A7DB2">
        <w:rPr>
          <w:rFonts w:eastAsia="Times New Roman" w:cs="Arial"/>
        </w:rPr>
        <w:t>.</w:t>
      </w:r>
      <w:r w:rsidRPr="000A7DB2">
        <w:rPr>
          <w:rFonts w:eastAsia="Times New Roman" w:cs="Arial"/>
        </w:rPr>
        <w:t xml:space="preserve"> </w:t>
      </w:r>
    </w:p>
    <w:p w:rsidR="00FC743E" w:rsidRPr="000A7DB2" w:rsidRDefault="00FC743E" w:rsidP="00FC743E">
      <w:pPr>
        <w:numPr>
          <w:ilvl w:val="0"/>
          <w:numId w:val="1"/>
        </w:numPr>
        <w:spacing w:before="240"/>
        <w:ind w:left="851" w:hanging="284"/>
        <w:rPr>
          <w:rFonts w:eastAsia="Times New Roman" w:cs="Arial"/>
        </w:rPr>
      </w:pPr>
      <w:r w:rsidRPr="000A7DB2">
        <w:rPr>
          <w:rFonts w:eastAsia="Times New Roman" w:cs="Arial"/>
        </w:rPr>
        <w:t>In all other cases a PTE’s classification is determined as follows:-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0A7DB2" w:rsidRPr="000A7DB2" w:rsidTr="000A7DB2">
        <w:tc>
          <w:tcPr>
            <w:tcW w:w="3402" w:type="dxa"/>
            <w:shd w:val="clear" w:color="auto" w:fill="57A8C5"/>
          </w:tcPr>
          <w:p w:rsidR="00FC743E" w:rsidRPr="000A7DB2" w:rsidRDefault="00FC743E" w:rsidP="00C66D0F">
            <w:pPr>
              <w:ind w:left="1134" w:hanging="958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A7DB2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Overall average (mean) score</w:t>
            </w:r>
          </w:p>
        </w:tc>
        <w:tc>
          <w:tcPr>
            <w:tcW w:w="3402" w:type="dxa"/>
            <w:shd w:val="clear" w:color="auto" w:fill="57A8C5"/>
          </w:tcPr>
          <w:p w:rsidR="00FC743E" w:rsidRPr="000A7DB2" w:rsidRDefault="00FC743E" w:rsidP="00C66D0F">
            <w:pPr>
              <w:ind w:left="1134" w:hanging="958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A7DB2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Overall assessment</w:t>
            </w:r>
          </w:p>
        </w:tc>
      </w:tr>
      <w:tr w:rsidR="00FC743E" w:rsidRPr="000A7DB2" w:rsidTr="00C66D0F">
        <w:tc>
          <w:tcPr>
            <w:tcW w:w="3402" w:type="dxa"/>
          </w:tcPr>
          <w:p w:rsidR="00FC743E" w:rsidRPr="000A7DB2" w:rsidRDefault="00FC743E" w:rsidP="00C66D0F">
            <w:pPr>
              <w:ind w:left="1134" w:hanging="958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0A7DB2">
              <w:rPr>
                <w:rFonts w:eastAsia="Times New Roman" w:cs="Arial"/>
                <w:sz w:val="20"/>
                <w:szCs w:val="20"/>
                <w:lang w:val="en-GB"/>
              </w:rPr>
              <w:t>Greater than 4.5</w:t>
            </w:r>
          </w:p>
        </w:tc>
        <w:tc>
          <w:tcPr>
            <w:tcW w:w="3402" w:type="dxa"/>
          </w:tcPr>
          <w:p w:rsidR="00FC743E" w:rsidRPr="000A7DB2" w:rsidRDefault="00FC743E" w:rsidP="00C66D0F">
            <w:pPr>
              <w:ind w:left="1134" w:hanging="958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0A7DB2">
              <w:rPr>
                <w:rFonts w:eastAsia="Times New Roman" w:cs="Arial"/>
                <w:sz w:val="20"/>
                <w:szCs w:val="20"/>
                <w:lang w:val="en-GB"/>
              </w:rPr>
              <w:t>Strong (A);</w:t>
            </w:r>
          </w:p>
        </w:tc>
      </w:tr>
      <w:tr w:rsidR="00FC743E" w:rsidRPr="000A7DB2" w:rsidTr="00C66D0F">
        <w:tc>
          <w:tcPr>
            <w:tcW w:w="3402" w:type="dxa"/>
          </w:tcPr>
          <w:p w:rsidR="00FC743E" w:rsidRPr="000A7DB2" w:rsidRDefault="00FC743E" w:rsidP="00C66D0F">
            <w:pPr>
              <w:ind w:left="1134" w:hanging="958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0A7DB2">
              <w:rPr>
                <w:rFonts w:eastAsia="Times New Roman" w:cs="Arial"/>
                <w:sz w:val="20"/>
                <w:szCs w:val="20"/>
                <w:lang w:val="en-GB"/>
              </w:rPr>
              <w:t>Between 3 and 4.5</w:t>
            </w:r>
          </w:p>
        </w:tc>
        <w:tc>
          <w:tcPr>
            <w:tcW w:w="3402" w:type="dxa"/>
          </w:tcPr>
          <w:p w:rsidR="00FC743E" w:rsidRPr="000A7DB2" w:rsidRDefault="00FC743E" w:rsidP="00C66D0F">
            <w:pPr>
              <w:ind w:left="1134" w:hanging="958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0A7DB2">
              <w:rPr>
                <w:rFonts w:eastAsia="Times New Roman" w:cs="Arial"/>
                <w:sz w:val="20"/>
                <w:szCs w:val="20"/>
                <w:lang w:val="en-GB"/>
              </w:rPr>
              <w:t>Adequate (B)</w:t>
            </w:r>
          </w:p>
        </w:tc>
      </w:tr>
      <w:tr w:rsidR="00FC743E" w:rsidRPr="000A7DB2" w:rsidTr="00C66D0F">
        <w:tc>
          <w:tcPr>
            <w:tcW w:w="3402" w:type="dxa"/>
          </w:tcPr>
          <w:p w:rsidR="00FC743E" w:rsidRPr="000A7DB2" w:rsidRDefault="00FC743E" w:rsidP="00C66D0F">
            <w:pPr>
              <w:ind w:left="1134" w:hanging="958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0A7DB2">
              <w:rPr>
                <w:rFonts w:eastAsia="Times New Roman" w:cs="Arial"/>
                <w:sz w:val="20"/>
                <w:szCs w:val="20"/>
                <w:lang w:val="en-GB"/>
              </w:rPr>
              <w:t>Between 2.5 and 3</w:t>
            </w:r>
          </w:p>
        </w:tc>
        <w:tc>
          <w:tcPr>
            <w:tcW w:w="3402" w:type="dxa"/>
          </w:tcPr>
          <w:p w:rsidR="00FC743E" w:rsidRPr="000A7DB2" w:rsidRDefault="00FC743E" w:rsidP="00C66D0F">
            <w:pPr>
              <w:ind w:left="1134" w:hanging="958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0A7DB2">
              <w:rPr>
                <w:rFonts w:eastAsia="Times New Roman" w:cs="Arial"/>
                <w:sz w:val="20"/>
                <w:szCs w:val="20"/>
                <w:lang w:val="en-GB"/>
              </w:rPr>
              <w:t>Poor (C)</w:t>
            </w:r>
          </w:p>
        </w:tc>
      </w:tr>
      <w:tr w:rsidR="00FC743E" w:rsidRPr="000A7DB2" w:rsidTr="00C66D0F">
        <w:tc>
          <w:tcPr>
            <w:tcW w:w="3402" w:type="dxa"/>
          </w:tcPr>
          <w:p w:rsidR="00FC743E" w:rsidRPr="000A7DB2" w:rsidRDefault="00FC743E" w:rsidP="00C66D0F">
            <w:pPr>
              <w:ind w:left="1134" w:hanging="958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0A7DB2">
              <w:rPr>
                <w:rFonts w:eastAsia="Times New Roman" w:cs="Arial"/>
                <w:sz w:val="20"/>
                <w:szCs w:val="20"/>
                <w:lang w:val="en-GB"/>
              </w:rPr>
              <w:t>Between 1.0 and 2.5</w:t>
            </w:r>
          </w:p>
        </w:tc>
        <w:tc>
          <w:tcPr>
            <w:tcW w:w="3402" w:type="dxa"/>
          </w:tcPr>
          <w:p w:rsidR="00FC743E" w:rsidRPr="000A7DB2" w:rsidRDefault="00FC743E" w:rsidP="00C66D0F">
            <w:pPr>
              <w:ind w:left="1134" w:hanging="958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0A7DB2">
              <w:rPr>
                <w:rFonts w:eastAsia="Times New Roman" w:cs="Arial"/>
                <w:sz w:val="20"/>
                <w:szCs w:val="20"/>
                <w:lang w:val="en-GB"/>
              </w:rPr>
              <w:t>High risk (D)</w:t>
            </w:r>
          </w:p>
        </w:tc>
      </w:tr>
      <w:tr w:rsidR="00FC743E" w:rsidRPr="000A7DB2" w:rsidTr="00C66D0F">
        <w:tc>
          <w:tcPr>
            <w:tcW w:w="3402" w:type="dxa"/>
          </w:tcPr>
          <w:p w:rsidR="00FC743E" w:rsidRPr="000A7DB2" w:rsidRDefault="00FC743E" w:rsidP="00C66D0F">
            <w:pPr>
              <w:ind w:left="1134" w:hanging="958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0A7DB2">
              <w:rPr>
                <w:rFonts w:eastAsia="Times New Roman" w:cs="Arial"/>
                <w:sz w:val="20"/>
                <w:szCs w:val="20"/>
                <w:lang w:val="en-GB"/>
              </w:rPr>
              <w:t>Less than 1.0</w:t>
            </w:r>
          </w:p>
        </w:tc>
        <w:tc>
          <w:tcPr>
            <w:tcW w:w="3402" w:type="dxa"/>
          </w:tcPr>
          <w:p w:rsidR="00FC743E" w:rsidRPr="000A7DB2" w:rsidRDefault="00FC743E" w:rsidP="00C66D0F">
            <w:pPr>
              <w:ind w:left="1134" w:hanging="958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0A7DB2">
              <w:rPr>
                <w:rFonts w:eastAsia="Times New Roman" w:cs="Arial"/>
                <w:sz w:val="20"/>
                <w:szCs w:val="20"/>
                <w:lang w:val="en-GB"/>
              </w:rPr>
              <w:t>Extreme risk (E)</w:t>
            </w:r>
          </w:p>
        </w:tc>
      </w:tr>
    </w:tbl>
    <w:p w:rsidR="00FC743E" w:rsidRPr="000A7DB2" w:rsidRDefault="00FC743E" w:rsidP="00FC743E">
      <w:pPr>
        <w:spacing w:after="120" w:line="276" w:lineRule="auto"/>
        <w:ind w:left="567" w:hanging="567"/>
        <w:rPr>
          <w:rFonts w:eastAsia="Times New Roman" w:cs="Arial"/>
        </w:rPr>
      </w:pPr>
    </w:p>
    <w:p w:rsidR="00DB0044" w:rsidRPr="000A7DB2" w:rsidRDefault="00FC743E" w:rsidP="00FC743E">
      <w:pPr>
        <w:rPr>
          <w:rFonts w:eastAsia="Times New Roman" w:cs="Arial"/>
        </w:rPr>
      </w:pPr>
      <w:r w:rsidRPr="000A7DB2">
        <w:rPr>
          <w:rFonts w:eastAsia="Times New Roman" w:cs="Arial"/>
        </w:rPr>
        <w:t>If information is not available to calculate some indicators the inability to assess will be noted for future follow-up and the average will be calculated as the average of the available scores</w:t>
      </w:r>
      <w:r w:rsidR="00AF6BEB" w:rsidRPr="000A7DB2">
        <w:rPr>
          <w:rFonts w:eastAsia="Times New Roman" w:cs="Arial"/>
        </w:rPr>
        <w:t>.</w:t>
      </w:r>
    </w:p>
    <w:sectPr w:rsidR="00DB0044" w:rsidRPr="000A7DB2" w:rsidSect="00FC7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70" w:rsidRDefault="00873270" w:rsidP="000A7DB2">
      <w:pPr>
        <w:spacing w:after="0" w:line="240" w:lineRule="auto"/>
      </w:pPr>
      <w:r>
        <w:separator/>
      </w:r>
    </w:p>
  </w:endnote>
  <w:endnote w:type="continuationSeparator" w:id="0">
    <w:p w:rsidR="00873270" w:rsidRDefault="00873270" w:rsidP="000A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DB2" w:rsidRDefault="000A7DB2">
    <w:pPr>
      <w:pStyle w:val="Footer"/>
    </w:pPr>
    <w:r>
      <w:t>Published by the Tertiary Education Commission in February 2016, ID A971453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70" w:rsidRDefault="00873270" w:rsidP="000A7DB2">
      <w:pPr>
        <w:spacing w:after="0" w:line="240" w:lineRule="auto"/>
      </w:pPr>
      <w:r>
        <w:separator/>
      </w:r>
    </w:p>
  </w:footnote>
  <w:footnote w:type="continuationSeparator" w:id="0">
    <w:p w:rsidR="00873270" w:rsidRDefault="00873270" w:rsidP="000A7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87717"/>
    <w:multiLevelType w:val="hybridMultilevel"/>
    <w:tmpl w:val="F7A2C598"/>
    <w:lvl w:ilvl="0" w:tplc="1409000F">
      <w:start w:val="1"/>
      <w:numFmt w:val="decimal"/>
      <w:lvlText w:val="%1."/>
      <w:lvlJc w:val="left"/>
      <w:pPr>
        <w:ind w:left="121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BD"/>
    <w:rsid w:val="000A7DB2"/>
    <w:rsid w:val="001223DC"/>
    <w:rsid w:val="002F47DF"/>
    <w:rsid w:val="00503F91"/>
    <w:rsid w:val="0060575F"/>
    <w:rsid w:val="00673A84"/>
    <w:rsid w:val="006E2BBD"/>
    <w:rsid w:val="006E78BF"/>
    <w:rsid w:val="00742C5E"/>
    <w:rsid w:val="007825BA"/>
    <w:rsid w:val="00782FEB"/>
    <w:rsid w:val="00873270"/>
    <w:rsid w:val="00930D52"/>
    <w:rsid w:val="009C45BA"/>
    <w:rsid w:val="00AF6BEB"/>
    <w:rsid w:val="00AF7297"/>
    <w:rsid w:val="00C00531"/>
    <w:rsid w:val="00C15E2C"/>
    <w:rsid w:val="00D10452"/>
    <w:rsid w:val="00DB0044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B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E2BB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">
    <w:name w:val="CM5"/>
    <w:basedOn w:val="Normal"/>
    <w:next w:val="Normal"/>
    <w:uiPriority w:val="99"/>
    <w:rsid w:val="006E2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0A7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DB2"/>
  </w:style>
  <w:style w:type="paragraph" w:styleId="Footer">
    <w:name w:val="footer"/>
    <w:basedOn w:val="Normal"/>
    <w:link w:val="FooterChar"/>
    <w:uiPriority w:val="99"/>
    <w:unhideWhenUsed/>
    <w:rsid w:val="000A7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B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E2BB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">
    <w:name w:val="CM5"/>
    <w:basedOn w:val="Normal"/>
    <w:next w:val="Normal"/>
    <w:uiPriority w:val="99"/>
    <w:rsid w:val="006E2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0A7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DB2"/>
  </w:style>
  <w:style w:type="paragraph" w:styleId="Footer">
    <w:name w:val="footer"/>
    <w:basedOn w:val="Normal"/>
    <w:link w:val="FooterChar"/>
    <w:uiPriority w:val="99"/>
    <w:unhideWhenUsed/>
    <w:rsid w:val="000A7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1626</Words>
  <Characters>9270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Tertiary Education Commission</Company>
  <LinksUpToDate>false</LinksUpToDate>
  <CharactersWithSpaces>10875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Lynch</dc:creator>
  <cp:lastModifiedBy>Jacob Reid</cp:lastModifiedBy>
  <cp:revision>2</cp:revision>
  <dcterms:created xsi:type="dcterms:W3CDTF">2016-10-06T22:58:00Z</dcterms:created>
  <dcterms:modified xsi:type="dcterms:W3CDTF">2016-10-06T22:58:00Z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A971453</vt:lpwstr>
  </property>
  <property fmtid="{D5CDD505-2E9C-101B-9397-08002B2CF9AE}" pid="4" name="Objective-Title">
    <vt:lpwstr>Web page update Attachment Six - Process for assigning risk rankings tables</vt:lpwstr>
  </property>
  <property fmtid="{D5CDD505-2E9C-101B-9397-08002B2CF9AE}" pid="5" name="Objective-Comment">
    <vt:lpwstr/>
  </property>
  <property fmtid="{D5CDD505-2E9C-101B-9397-08002B2CF9AE}" pid="6" name="Objective-CreationStamp">
    <vt:filetime>2016-02-04T22:59:49Z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2016-02-22T00:51:49Z</vt:filetime>
  </property>
  <property fmtid="{D5CDD505-2E9C-101B-9397-08002B2CF9AE}" pid="10" name="Objective-ModificationStamp">
    <vt:filetime>2016-02-22T00:51:50Z</vt:filetime>
  </property>
  <property fmtid="{D5CDD505-2E9C-101B-9397-08002B2CF9AE}" pid="11" name="Objective-Owner">
    <vt:lpwstr>Bruce Lynch</vt:lpwstr>
  </property>
  <property fmtid="{D5CDD505-2E9C-101B-9397-08002B2CF9AE}" pid="12" name="Objective-Path">
    <vt:lpwstr>Objective Global Folder:TEC Global Folder:Tertiary Education Organisations:Sector:TO-B- FINANCIAL MONITORING -NO-T:2015 PTE Financial Monitoring - Sector:</vt:lpwstr>
  </property>
  <property fmtid="{D5CDD505-2E9C-101B-9397-08002B2CF9AE}" pid="13" name="Objective-Parent">
    <vt:lpwstr>2015 PTE Financial Monitoring - Sector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TO-B-16/06-6266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Reference [system]">
    <vt:lpwstr/>
  </property>
  <property fmtid="{D5CDD505-2E9C-101B-9397-08002B2CF9AE}" pid="22" name="Objective-Date [system]">
    <vt:lpwstr/>
  </property>
  <property fmtid="{D5CDD505-2E9C-101B-9397-08002B2CF9AE}" pid="23" name="Objective-Action [system]">
    <vt:lpwstr/>
  </property>
  <property fmtid="{D5CDD505-2E9C-101B-9397-08002B2CF9AE}" pid="24" name="Objective-Responsible [system]">
    <vt:lpwstr/>
  </property>
  <property fmtid="{D5CDD505-2E9C-101B-9397-08002B2CF9AE}" pid="25" name="Objective-Financial Year [system]">
    <vt:lpwstr/>
  </property>
  <property fmtid="{D5CDD505-2E9C-101B-9397-08002B2CF9AE}" pid="26" name="Objective-Calendar Year [system]">
    <vt:lpwstr/>
  </property>
  <property fmtid="{D5CDD505-2E9C-101B-9397-08002B2CF9AE}" pid="27" name="Objective-EDUMIS Number [system]">
    <vt:lpwstr/>
  </property>
  <property fmtid="{D5CDD505-2E9C-101B-9397-08002B2CF9AE}" pid="28" name="Objective-Sub Sector [system]">
    <vt:lpwstr/>
  </property>
  <property fmtid="{D5CDD505-2E9C-101B-9397-08002B2CF9AE}" pid="29" name="Objective-Fund Name [system]">
    <vt:lpwstr/>
  </property>
</Properties>
</file>